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18" w:rsidRDefault="001D3818" w:rsidP="002635CA">
      <w:pPr>
        <w:jc w:val="center"/>
        <w:rPr>
          <w:sz w:val="36"/>
          <w:szCs w:val="36"/>
        </w:rPr>
      </w:pPr>
    </w:p>
    <w:p w:rsidR="001D3818" w:rsidRDefault="001D3818" w:rsidP="002635CA">
      <w:pPr>
        <w:jc w:val="center"/>
        <w:rPr>
          <w:sz w:val="36"/>
          <w:szCs w:val="36"/>
        </w:rPr>
      </w:pPr>
    </w:p>
    <w:p w:rsidR="001D3818" w:rsidRDefault="001D3818" w:rsidP="002635CA">
      <w:pPr>
        <w:jc w:val="center"/>
        <w:rPr>
          <w:sz w:val="36"/>
          <w:szCs w:val="36"/>
        </w:rPr>
      </w:pPr>
    </w:p>
    <w:p w:rsidR="001D3818" w:rsidRDefault="001D3818" w:rsidP="002635CA">
      <w:pPr>
        <w:jc w:val="center"/>
        <w:rPr>
          <w:sz w:val="36"/>
          <w:szCs w:val="36"/>
        </w:rPr>
      </w:pPr>
    </w:p>
    <w:p w:rsidR="00957012" w:rsidRPr="002F7A04" w:rsidRDefault="000A5C24" w:rsidP="002635CA">
      <w:pPr>
        <w:jc w:val="center"/>
        <w:rPr>
          <w:sz w:val="36"/>
          <w:szCs w:val="36"/>
        </w:rPr>
      </w:pPr>
      <w:r>
        <w:rPr>
          <w:sz w:val="36"/>
          <w:szCs w:val="36"/>
        </w:rPr>
        <w:t>A</w:t>
      </w:r>
      <w:r w:rsidRPr="000A5C24">
        <w:rPr>
          <w:sz w:val="36"/>
          <w:szCs w:val="36"/>
        </w:rPr>
        <w:t xml:space="preserve">NALYSIS OF PHOSPHORUS AND TSS </w:t>
      </w:r>
      <w:r w:rsidR="00453C08">
        <w:rPr>
          <w:sz w:val="36"/>
          <w:szCs w:val="36"/>
        </w:rPr>
        <w:t xml:space="preserve">TEMPORAL CHANGES AND </w:t>
      </w:r>
      <w:r w:rsidRPr="000A5C24">
        <w:rPr>
          <w:sz w:val="36"/>
          <w:szCs w:val="36"/>
        </w:rPr>
        <w:t>TRENDS IN DUCK CREEK</w:t>
      </w:r>
      <w:r>
        <w:rPr>
          <w:sz w:val="36"/>
          <w:szCs w:val="36"/>
        </w:rPr>
        <w:t xml:space="preserve">, </w:t>
      </w:r>
      <w:r w:rsidRPr="002F7A04">
        <w:rPr>
          <w:sz w:val="36"/>
          <w:szCs w:val="36"/>
        </w:rPr>
        <w:t>WISCONSIN</w:t>
      </w:r>
    </w:p>
    <w:p w:rsidR="00957012" w:rsidRDefault="00957012" w:rsidP="002635CA">
      <w:pPr>
        <w:spacing w:after="200" w:line="276" w:lineRule="auto"/>
        <w:jc w:val="center"/>
      </w:pPr>
    </w:p>
    <w:p w:rsidR="00957012" w:rsidRDefault="00957012" w:rsidP="002635CA">
      <w:pPr>
        <w:spacing w:after="200" w:line="276" w:lineRule="auto"/>
        <w:jc w:val="center"/>
      </w:pPr>
      <w:r>
        <w:t>A report to the:</w:t>
      </w:r>
    </w:p>
    <w:p w:rsidR="00957012" w:rsidRPr="00957012" w:rsidRDefault="009E3B18" w:rsidP="002635CA">
      <w:pPr>
        <w:spacing w:after="200" w:line="276" w:lineRule="auto"/>
        <w:jc w:val="center"/>
        <w:rPr>
          <w:sz w:val="32"/>
        </w:rPr>
      </w:pPr>
      <w:r>
        <w:rPr>
          <w:sz w:val="32"/>
        </w:rPr>
        <w:t>Wisconsin Department of Natural Resources</w:t>
      </w:r>
    </w:p>
    <w:p w:rsidR="00957012" w:rsidRDefault="00957012" w:rsidP="002635CA">
      <w:pPr>
        <w:spacing w:after="200" w:line="276" w:lineRule="auto"/>
        <w:jc w:val="center"/>
      </w:pPr>
    </w:p>
    <w:p w:rsidR="00957012" w:rsidRPr="00CB17AA" w:rsidRDefault="00957012" w:rsidP="002635CA">
      <w:pPr>
        <w:spacing w:after="200" w:line="276" w:lineRule="auto"/>
        <w:jc w:val="center"/>
      </w:pPr>
      <w:r w:rsidRPr="00CB17AA">
        <w:t>By:</w:t>
      </w:r>
    </w:p>
    <w:p w:rsidR="00CB17AA" w:rsidRPr="00CB17AA" w:rsidRDefault="00957012" w:rsidP="002635CA">
      <w:pPr>
        <w:jc w:val="center"/>
        <w:rPr>
          <w:sz w:val="28"/>
        </w:rPr>
      </w:pPr>
      <w:r w:rsidRPr="00CB17AA">
        <w:rPr>
          <w:sz w:val="28"/>
        </w:rPr>
        <w:t>Paul Baumgart</w:t>
      </w:r>
    </w:p>
    <w:p w:rsidR="00CB17AA" w:rsidRDefault="00CB17AA" w:rsidP="002635CA">
      <w:pPr>
        <w:jc w:val="center"/>
        <w:rPr>
          <w:sz w:val="28"/>
        </w:rPr>
      </w:pPr>
    </w:p>
    <w:p w:rsidR="00EE56CF" w:rsidRDefault="00EE56CF" w:rsidP="002635CA">
      <w:pPr>
        <w:jc w:val="center"/>
        <w:rPr>
          <w:sz w:val="28"/>
        </w:rPr>
      </w:pPr>
      <w:r>
        <w:rPr>
          <w:sz w:val="28"/>
        </w:rPr>
        <w:t>Dan Feldman</w:t>
      </w:r>
      <w:r w:rsidR="001D3818">
        <w:rPr>
          <w:sz w:val="28"/>
        </w:rPr>
        <w:t>n</w:t>
      </w:r>
    </w:p>
    <w:p w:rsidR="00EE56CF" w:rsidRDefault="00EE56CF" w:rsidP="002635CA">
      <w:pPr>
        <w:jc w:val="center"/>
        <w:rPr>
          <w:sz w:val="28"/>
        </w:rPr>
      </w:pPr>
      <w:r>
        <w:rPr>
          <w:sz w:val="28"/>
        </w:rPr>
        <w:t>Marty Jacobson</w:t>
      </w:r>
    </w:p>
    <w:p w:rsidR="00EE56CF" w:rsidRPr="00CB17AA" w:rsidRDefault="00EE56CF" w:rsidP="002635CA">
      <w:pPr>
        <w:jc w:val="center"/>
        <w:rPr>
          <w:sz w:val="28"/>
        </w:rPr>
      </w:pPr>
      <w:r>
        <w:rPr>
          <w:sz w:val="28"/>
        </w:rPr>
        <w:t>Alexis Heim</w:t>
      </w:r>
    </w:p>
    <w:p w:rsidR="00957012" w:rsidRPr="00CB17AA" w:rsidRDefault="00957012" w:rsidP="002635CA">
      <w:pPr>
        <w:jc w:val="center"/>
        <w:rPr>
          <w:sz w:val="28"/>
        </w:rPr>
      </w:pPr>
    </w:p>
    <w:p w:rsidR="00957012" w:rsidRPr="00CB17AA" w:rsidRDefault="00957012" w:rsidP="002635CA">
      <w:pPr>
        <w:jc w:val="center"/>
        <w:rPr>
          <w:sz w:val="28"/>
        </w:rPr>
      </w:pPr>
      <w:r w:rsidRPr="00CB17AA">
        <w:rPr>
          <w:sz w:val="28"/>
        </w:rPr>
        <w:t>University of Wisconsin Green Bay</w:t>
      </w:r>
    </w:p>
    <w:p w:rsidR="00CB17AA" w:rsidRDefault="00957012" w:rsidP="002635CA">
      <w:pPr>
        <w:jc w:val="center"/>
      </w:pPr>
      <w:r w:rsidRPr="00CB17AA">
        <w:rPr>
          <w:sz w:val="28"/>
        </w:rPr>
        <w:t>Department of Natural and Applied Science</w:t>
      </w:r>
    </w:p>
    <w:p w:rsidR="00957012" w:rsidRPr="00CB17AA" w:rsidRDefault="00CB17AA" w:rsidP="002635CA">
      <w:pPr>
        <w:jc w:val="center"/>
        <w:rPr>
          <w:sz w:val="28"/>
        </w:rPr>
      </w:pPr>
      <w:r>
        <w:t>UW-Green Bay Project No:  PRJ-</w:t>
      </w:r>
      <w:r w:rsidR="009E3B18">
        <w:t>51CQ</w:t>
      </w:r>
    </w:p>
    <w:p w:rsidR="00957012" w:rsidRDefault="00957012" w:rsidP="002635CA">
      <w:pPr>
        <w:spacing w:after="200" w:line="276" w:lineRule="auto"/>
        <w:jc w:val="center"/>
      </w:pPr>
    </w:p>
    <w:p w:rsidR="00957012" w:rsidRDefault="00957012" w:rsidP="002635CA">
      <w:pPr>
        <w:spacing w:after="200" w:line="276" w:lineRule="auto"/>
        <w:jc w:val="center"/>
      </w:pPr>
    </w:p>
    <w:p w:rsidR="009E3B18" w:rsidRPr="009E3B18" w:rsidRDefault="009E3B18" w:rsidP="002635CA">
      <w:pPr>
        <w:spacing w:after="120" w:line="276" w:lineRule="auto"/>
        <w:jc w:val="center"/>
        <w:rPr>
          <w:sz w:val="28"/>
        </w:rPr>
      </w:pPr>
      <w:r w:rsidRPr="009E3B18">
        <w:rPr>
          <w:sz w:val="28"/>
        </w:rPr>
        <w:t>EPA Grant Funding Source: WDNR Grant Sub-award</w:t>
      </w:r>
    </w:p>
    <w:p w:rsidR="00957012" w:rsidRPr="00CB17AA" w:rsidRDefault="009E3B18" w:rsidP="002635CA">
      <w:pPr>
        <w:spacing w:after="120" w:line="276" w:lineRule="auto"/>
        <w:jc w:val="center"/>
        <w:rPr>
          <w:sz w:val="28"/>
        </w:rPr>
      </w:pPr>
      <w:r w:rsidRPr="009E3B18">
        <w:rPr>
          <w:sz w:val="28"/>
        </w:rPr>
        <w:t>Grant #</w:t>
      </w:r>
      <w:r w:rsidR="00140C76">
        <w:rPr>
          <w:sz w:val="28"/>
        </w:rPr>
        <w:t xml:space="preserve"> </w:t>
      </w:r>
      <w:r w:rsidRPr="009E3B18">
        <w:rPr>
          <w:sz w:val="28"/>
        </w:rPr>
        <w:t>00E00712-10-2011</w:t>
      </w:r>
    </w:p>
    <w:p w:rsidR="00EE56CF" w:rsidRDefault="00690034" w:rsidP="00E46C5E">
      <w:pPr>
        <w:spacing w:after="120" w:line="276" w:lineRule="auto"/>
        <w:jc w:val="center"/>
        <w:rPr>
          <w:sz w:val="28"/>
        </w:rPr>
      </w:pPr>
      <w:r>
        <w:rPr>
          <w:sz w:val="28"/>
        </w:rPr>
        <w:t>December</w:t>
      </w:r>
      <w:r w:rsidR="009E3B18">
        <w:rPr>
          <w:sz w:val="28"/>
        </w:rPr>
        <w:t xml:space="preserve"> 201</w:t>
      </w:r>
      <w:r w:rsidR="007A3ECA">
        <w:rPr>
          <w:sz w:val="28"/>
        </w:rPr>
        <w:t>3</w:t>
      </w:r>
      <w:r w:rsidR="00EE56CF">
        <w:rPr>
          <w:sz w:val="28"/>
        </w:rPr>
        <w:br w:type="page"/>
      </w:r>
    </w:p>
    <w:p w:rsidR="00B10D80" w:rsidRDefault="00B10D80" w:rsidP="006B6B13">
      <w:pPr>
        <w:sectPr w:rsidR="00B10D80" w:rsidSect="002635CA">
          <w:headerReference w:type="default" r:id="rId9"/>
          <w:footerReference w:type="default" r:id="rId10"/>
          <w:headerReference w:type="first" r:id="rId11"/>
          <w:type w:val="continuous"/>
          <w:pgSz w:w="12240" w:h="15840" w:code="1"/>
          <w:pgMar w:top="1440" w:right="1440" w:bottom="1440" w:left="1440" w:header="720" w:footer="720" w:gutter="0"/>
          <w:pgNumType w:fmt="lowerRoman" w:start="1"/>
          <w:cols w:space="720"/>
          <w:vAlign w:val="center"/>
          <w:titlePg/>
          <w:docGrid w:linePitch="326"/>
        </w:sectPr>
      </w:pPr>
    </w:p>
    <w:p w:rsidR="00C71B23" w:rsidRDefault="001B1FF7" w:rsidP="00362255">
      <w:pPr>
        <w:pStyle w:val="Heading1"/>
      </w:pPr>
      <w:bookmarkStart w:id="0" w:name="_Toc239676143"/>
      <w:bookmarkStart w:id="1" w:name="_Toc239676342"/>
      <w:bookmarkStart w:id="2" w:name="_Toc239677690"/>
      <w:bookmarkStart w:id="3" w:name="_Toc239742293"/>
      <w:bookmarkStart w:id="4" w:name="_Toc239743430"/>
      <w:bookmarkStart w:id="5" w:name="_Toc239743684"/>
      <w:bookmarkStart w:id="6" w:name="_Toc239746110"/>
      <w:bookmarkStart w:id="7" w:name="_Toc239828366"/>
      <w:bookmarkStart w:id="8" w:name="_Toc239830655"/>
      <w:bookmarkStart w:id="9" w:name="_Toc239991969"/>
      <w:bookmarkEnd w:id="0"/>
      <w:bookmarkEnd w:id="1"/>
      <w:bookmarkEnd w:id="2"/>
      <w:bookmarkEnd w:id="3"/>
      <w:bookmarkEnd w:id="4"/>
      <w:bookmarkEnd w:id="5"/>
      <w:bookmarkEnd w:id="6"/>
      <w:bookmarkEnd w:id="7"/>
      <w:bookmarkEnd w:id="8"/>
      <w:bookmarkEnd w:id="9"/>
      <w:r>
        <w:lastRenderedPageBreak/>
        <w:t>– INTRODUCTION</w:t>
      </w:r>
    </w:p>
    <w:p w:rsidR="00F07940" w:rsidRDefault="00023E45">
      <w:pPr>
        <w:pStyle w:val="Heading2"/>
        <w:rPr>
          <w:b w:val="0"/>
        </w:rPr>
      </w:pPr>
      <w:r w:rsidRPr="00023E45">
        <w:t>Introduction</w:t>
      </w:r>
    </w:p>
    <w:p w:rsidR="000B1C35" w:rsidRDefault="00F46EC6" w:rsidP="007F34B6">
      <w:pPr>
        <w:spacing w:after="120"/>
        <w:ind w:firstLine="720"/>
        <w:rPr>
          <w:rFonts w:cs="Times New Roman"/>
        </w:rPr>
      </w:pPr>
      <w:r w:rsidRPr="007A7348">
        <w:t>The Duck Creek watershed drains approximately 39</w:t>
      </w:r>
      <w:r w:rsidR="00B94868">
        <w:t>3</w:t>
      </w:r>
      <w:r w:rsidRPr="007A7348">
        <w:t xml:space="preserve"> </w:t>
      </w:r>
      <w:r w:rsidR="006C38DA">
        <w:t>km</w:t>
      </w:r>
      <w:r w:rsidR="006C38DA" w:rsidRPr="006C38DA">
        <w:rPr>
          <w:vertAlign w:val="superscript"/>
        </w:rPr>
        <w:t>2</w:t>
      </w:r>
      <w:r w:rsidRPr="007A7348">
        <w:t xml:space="preserve"> of Brown (33%) and Outagamie (6</w:t>
      </w:r>
      <w:r w:rsidR="00B94868">
        <w:t>7</w:t>
      </w:r>
      <w:r w:rsidRPr="007A7348">
        <w:t>%) counties in northeastern Wisconsin</w:t>
      </w:r>
      <w:r w:rsidR="0056085B">
        <w:t xml:space="preserve"> (Figure 1)</w:t>
      </w:r>
      <w:r w:rsidRPr="007A7348">
        <w:t>.  Duck Creek is classified as a fifth-order, intermittent, warm</w:t>
      </w:r>
      <w:r w:rsidR="001E75BE">
        <w:t xml:space="preserve"> </w:t>
      </w:r>
      <w:r w:rsidRPr="007A7348">
        <w:t xml:space="preserve">water stream.  The headwaters of Duck Creek originate approximately 4 km south of Seymour, Wisconsin in an area </w:t>
      </w:r>
      <w:r w:rsidR="00FD0CD6">
        <w:t>just north of</w:t>
      </w:r>
      <w:r w:rsidRPr="007A7348">
        <w:t xml:space="preserve"> Burma Swamp</w:t>
      </w:r>
      <w:r w:rsidR="00B51597">
        <w:t xml:space="preserve">, and </w:t>
      </w:r>
      <w:r w:rsidR="00AE0AE6">
        <w:t xml:space="preserve">the creek </w:t>
      </w:r>
      <w:r w:rsidR="00B51597">
        <w:t xml:space="preserve">outlets </w:t>
      </w:r>
      <w:r w:rsidR="00AE0AE6">
        <w:t xml:space="preserve">directly </w:t>
      </w:r>
      <w:r w:rsidR="00B51597">
        <w:t xml:space="preserve">to </w:t>
      </w:r>
      <w:r w:rsidRPr="007A7348">
        <w:t xml:space="preserve">the </w:t>
      </w:r>
      <w:r w:rsidR="000B1C35">
        <w:t xml:space="preserve">lower portion of the </w:t>
      </w:r>
      <w:r w:rsidRPr="007A7348">
        <w:t xml:space="preserve">Bay of Green Bay.  </w:t>
      </w:r>
      <w:r w:rsidR="000B1C35" w:rsidRPr="007A7348">
        <w:t>Many of the tributaries and a large</w:t>
      </w:r>
      <w:r w:rsidR="000B1C35">
        <w:t xml:space="preserve"> </w:t>
      </w:r>
      <w:r w:rsidR="000B1C35" w:rsidRPr="007A7348">
        <w:t>portion of main</w:t>
      </w:r>
      <w:r w:rsidR="00C62F01">
        <w:t xml:space="preserve"> </w:t>
      </w:r>
      <w:r w:rsidR="000B1C35" w:rsidRPr="007A7348">
        <w:t xml:space="preserve">stem Duck Creek meanders through the Oneida Indian Reservation, which straddles the boundary </w:t>
      </w:r>
      <w:r w:rsidR="000B1C35">
        <w:t>of Brown and Outagamie counties.  The watershed makes up a portion of the 1,654 km</w:t>
      </w:r>
      <w:r w:rsidR="000B1C35" w:rsidRPr="00280409">
        <w:rPr>
          <w:vertAlign w:val="superscript"/>
        </w:rPr>
        <w:t>2</w:t>
      </w:r>
      <w:r w:rsidR="000B1C35">
        <w:t xml:space="preserve"> Lower Fox River Basin.  </w:t>
      </w:r>
      <w:r w:rsidR="000B1C35" w:rsidRPr="007A7348">
        <w:t>According to 200</w:t>
      </w:r>
      <w:r w:rsidR="000B1C35">
        <w:t>1</w:t>
      </w:r>
      <w:r w:rsidR="000B1C35" w:rsidRPr="007A7348">
        <w:t xml:space="preserve"> land use data provided by the Lower Fox River Watershed Monitoring Program (LFRWMP), the Duck Creek watershed </w:t>
      </w:r>
      <w:r w:rsidR="000B1C35">
        <w:t xml:space="preserve">is </w:t>
      </w:r>
      <w:r w:rsidR="000B1C35" w:rsidRPr="007A7348">
        <w:t>predominately agricultural (55.3%) with urban</w:t>
      </w:r>
      <w:r w:rsidR="000B1C35">
        <w:t xml:space="preserve"> </w:t>
      </w:r>
      <w:r w:rsidR="000B1C35" w:rsidRPr="007A7348">
        <w:t>land (18.8%), forested land (13%) and wetlands (8.5%) compris</w:t>
      </w:r>
      <w:r w:rsidR="000B1C35">
        <w:t>ing</w:t>
      </w:r>
      <w:r w:rsidR="000B1C35" w:rsidRPr="007A7348">
        <w:t xml:space="preserve"> significant parts of the watershed </w:t>
      </w:r>
      <w:r w:rsidR="000B1C35">
        <w:t>(Figure 1)</w:t>
      </w:r>
      <w:r w:rsidR="000B1C35" w:rsidRPr="007A7348">
        <w:t>.</w:t>
      </w:r>
      <w:r w:rsidR="00AE0AE6" w:rsidRPr="00AE0AE6">
        <w:t xml:space="preserve"> </w:t>
      </w:r>
      <w:r w:rsidR="00AE0AE6">
        <w:t xml:space="preserve"> In July 2012, the U.S.EPA formally approved a </w:t>
      </w:r>
      <w:r w:rsidR="00AE0AE6" w:rsidRPr="007A7348">
        <w:t xml:space="preserve">TMDL </w:t>
      </w:r>
      <w:r w:rsidR="00AE0AE6">
        <w:t xml:space="preserve">which </w:t>
      </w:r>
      <w:r w:rsidR="00AE0AE6" w:rsidRPr="007A7348">
        <w:t>set numeric water quality targets for tributary streams in the Lower Fox River basin, as well as the Lower Fox River and Green Bay A</w:t>
      </w:r>
      <w:r w:rsidR="00AE0AE6">
        <w:t>rea of Concern</w:t>
      </w:r>
      <w:r w:rsidR="00AE0AE6" w:rsidRPr="007A7348">
        <w:t xml:space="preserve">.  </w:t>
      </w:r>
      <w:r w:rsidR="00AE0AE6">
        <w:t>The TMDL water quality target for Duck Creek is a summer median concentration of 0.075 mg/L total phosphorus</w:t>
      </w:r>
      <w:r w:rsidR="00AE0AE6" w:rsidRPr="007A7348">
        <w:t>.</w:t>
      </w:r>
      <w:r w:rsidR="00AE0AE6">
        <w:t xml:space="preserve">  </w:t>
      </w:r>
      <w:r w:rsidR="000B1C35" w:rsidRPr="00CE3E9B">
        <w:rPr>
          <w:rFonts w:cs="Times New Roman"/>
        </w:rPr>
        <w:t xml:space="preserve">The USGS has collected water quality data from Duck Creek since 1988 </w:t>
      </w:r>
      <w:r w:rsidR="001215E5">
        <w:rPr>
          <w:rFonts w:cs="Times New Roman"/>
        </w:rPr>
        <w:t>w</w:t>
      </w:r>
      <w:r w:rsidR="000B1C35" w:rsidRPr="00CE3E9B">
        <w:rPr>
          <w:rFonts w:cs="Times New Roman"/>
        </w:rPr>
        <w:t xml:space="preserve">ith a gauging station located </w:t>
      </w:r>
      <w:r w:rsidR="000B1C35">
        <w:rPr>
          <w:rFonts w:cs="Times New Roman"/>
        </w:rPr>
        <w:t xml:space="preserve">in Brown County, Wisconsin </w:t>
      </w:r>
      <w:r w:rsidR="000B1C35" w:rsidRPr="00CE3E9B">
        <w:rPr>
          <w:rFonts w:cs="Times New Roman"/>
        </w:rPr>
        <w:t>(</w:t>
      </w:r>
      <w:r w:rsidR="000B1C35">
        <w:rPr>
          <w:rFonts w:cs="Times New Roman"/>
        </w:rPr>
        <w:t xml:space="preserve">USGS </w:t>
      </w:r>
      <w:r w:rsidR="000B1C35" w:rsidRPr="00CE3E9B">
        <w:rPr>
          <w:rFonts w:cs="Times New Roman"/>
        </w:rPr>
        <w:t>Station ID# 04072150</w:t>
      </w:r>
      <w:r w:rsidR="00846D32">
        <w:rPr>
          <w:rFonts w:cs="Times New Roman"/>
        </w:rPr>
        <w:t>, Figure 1</w:t>
      </w:r>
      <w:r w:rsidR="000B1C35" w:rsidRPr="00CE3E9B">
        <w:rPr>
          <w:rFonts w:cs="Times New Roman"/>
        </w:rPr>
        <w:t xml:space="preserve">). </w:t>
      </w:r>
    </w:p>
    <w:p w:rsidR="003625E8" w:rsidRDefault="00B27091">
      <w:pPr>
        <w:jc w:val="center"/>
      </w:pPr>
      <w:r>
        <w:rPr>
          <w:noProof/>
        </w:rPr>
        <w:lastRenderedPageBreak/>
        <w:drawing>
          <wp:inline distT="0" distB="0" distL="0" distR="0">
            <wp:extent cx="5781675" cy="6858000"/>
            <wp:effectExtent l="0" t="0" r="9525" b="0"/>
            <wp:docPr id="4" name="Picture 1" descr="duck_lus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_luse_4"/>
                    <pic:cNvPicPr>
                      <a:picLocks noChangeAspect="1" noChangeArrowheads="1"/>
                    </pic:cNvPicPr>
                  </pic:nvPicPr>
                  <pic:blipFill>
                    <a:blip r:embed="rId12" cstate="print">
                      <a:extLst>
                        <a:ext uri="{28A0092B-C50C-407E-A947-70E740481C1C}">
                          <a14:useLocalDpi xmlns:a14="http://schemas.microsoft.com/office/drawing/2010/main" val="0"/>
                        </a:ext>
                      </a:extLst>
                    </a:blip>
                    <a:srcRect t="1970" b="21669"/>
                    <a:stretch>
                      <a:fillRect/>
                    </a:stretch>
                  </pic:blipFill>
                  <pic:spPr bwMode="auto">
                    <a:xfrm>
                      <a:off x="0" y="0"/>
                      <a:ext cx="5781675" cy="6858000"/>
                    </a:xfrm>
                    <a:prstGeom prst="rect">
                      <a:avLst/>
                    </a:prstGeom>
                    <a:noFill/>
                    <a:ln>
                      <a:noFill/>
                    </a:ln>
                  </pic:spPr>
                </pic:pic>
              </a:graphicData>
            </a:graphic>
          </wp:inline>
        </w:drawing>
      </w:r>
    </w:p>
    <w:p w:rsidR="003625E8" w:rsidRDefault="00074E04">
      <w:pPr>
        <w:spacing w:before="40"/>
        <w:jc w:val="center"/>
        <w:rPr>
          <w:b/>
        </w:rPr>
      </w:pPr>
      <w:bookmarkStart w:id="10" w:name="_Toc245631745"/>
      <w:r>
        <w:t xml:space="preserve">Figure </w:t>
      </w:r>
      <w:r w:rsidR="00AD4FBD">
        <w:fldChar w:fldCharType="begin"/>
      </w:r>
      <w:r>
        <w:instrText xml:space="preserve"> STYLEREF 1 \s </w:instrText>
      </w:r>
      <w:r w:rsidR="00AD4FBD">
        <w:fldChar w:fldCharType="separate"/>
      </w:r>
      <w:r w:rsidR="00DE01C9">
        <w:rPr>
          <w:noProof/>
        </w:rPr>
        <w:t>1</w:t>
      </w:r>
      <w:r w:rsidR="00AD4FBD">
        <w:fldChar w:fldCharType="end"/>
      </w:r>
      <w:r w:rsidR="00540C2F" w:rsidRPr="00540C2F">
        <w:t>.  Land Cover and Landuse in the Duck Creek Watershed</w:t>
      </w:r>
      <w:r w:rsidR="00144121">
        <w:t>, 2001.</w:t>
      </w:r>
      <w:bookmarkEnd w:id="10"/>
    </w:p>
    <w:p w:rsidR="00551F57" w:rsidRDefault="00551F57" w:rsidP="00D779E0">
      <w:pPr>
        <w:spacing w:after="120"/>
        <w:ind w:firstLine="720"/>
      </w:pPr>
    </w:p>
    <w:p w:rsidR="001215E5" w:rsidRDefault="001215E5">
      <w:pPr>
        <w:spacing w:after="200" w:line="276" w:lineRule="auto"/>
      </w:pPr>
      <w:r>
        <w:br w:type="page"/>
      </w:r>
    </w:p>
    <w:p w:rsidR="00F07940" w:rsidRDefault="003C1809">
      <w:pPr>
        <w:pStyle w:val="Heading1"/>
      </w:pPr>
      <w:r>
        <w:lastRenderedPageBreak/>
        <w:t>–</w:t>
      </w:r>
      <w:r w:rsidR="00023E45" w:rsidRPr="00023E45">
        <w:t xml:space="preserve"> </w:t>
      </w:r>
      <w:r>
        <w:t xml:space="preserve">BACKGROUND: </w:t>
      </w:r>
      <w:r w:rsidR="00023E45" w:rsidRPr="00023E45">
        <w:t xml:space="preserve">WATER QUALITY </w:t>
      </w:r>
      <w:r w:rsidR="001215E5">
        <w:t>AND TREND AN</w:t>
      </w:r>
      <w:r>
        <w:t>A</w:t>
      </w:r>
      <w:r w:rsidR="001215E5">
        <w:t>LYSIS</w:t>
      </w:r>
    </w:p>
    <w:p w:rsidR="001B1FF7" w:rsidRDefault="001B1FF7" w:rsidP="001B1FF7">
      <w:pPr>
        <w:pStyle w:val="Heading2"/>
      </w:pPr>
      <w:r w:rsidRPr="00415AEC">
        <w:t xml:space="preserve">Duck Creek Water Quality </w:t>
      </w:r>
      <w:r>
        <w:t>Dataset Characteristics</w:t>
      </w:r>
    </w:p>
    <w:p w:rsidR="001B1FF7" w:rsidRDefault="001B1FF7" w:rsidP="001B1FF7">
      <w:pPr>
        <w:spacing w:after="120"/>
        <w:ind w:firstLine="720"/>
        <w:rPr>
          <w:rFonts w:cs="Times New Roman"/>
        </w:rPr>
      </w:pPr>
      <w:r w:rsidRPr="00CE3E9B">
        <w:rPr>
          <w:rFonts w:cs="Times New Roman"/>
        </w:rPr>
        <w:t xml:space="preserve">The USGS has </w:t>
      </w:r>
      <w:r w:rsidR="0056085B">
        <w:rPr>
          <w:rFonts w:cs="Times New Roman"/>
        </w:rPr>
        <w:t xml:space="preserve">measured discharge and </w:t>
      </w:r>
      <w:r w:rsidRPr="00CE3E9B">
        <w:rPr>
          <w:rFonts w:cs="Times New Roman"/>
        </w:rPr>
        <w:t xml:space="preserve">collected water quality data from Duck Creek since 1988 and continues today with a gauging station located at the County Road FF bridge located </w:t>
      </w:r>
      <w:r>
        <w:rPr>
          <w:rFonts w:cs="Times New Roman"/>
        </w:rPr>
        <w:t xml:space="preserve">in Brown County, Wisconsin, just to the west of the Village of </w:t>
      </w:r>
      <w:r w:rsidRPr="00CE3E9B">
        <w:rPr>
          <w:rFonts w:cs="Times New Roman"/>
        </w:rPr>
        <w:t>Howard</w:t>
      </w:r>
      <w:r>
        <w:rPr>
          <w:rFonts w:cs="Times New Roman"/>
        </w:rPr>
        <w:t xml:space="preserve"> </w:t>
      </w:r>
      <w:r w:rsidRPr="00CE3E9B">
        <w:rPr>
          <w:rFonts w:cs="Times New Roman"/>
        </w:rPr>
        <w:t>(</w:t>
      </w:r>
      <w:r>
        <w:rPr>
          <w:rFonts w:cs="Times New Roman"/>
        </w:rPr>
        <w:t xml:space="preserve">USGS </w:t>
      </w:r>
      <w:r w:rsidRPr="00CE3E9B">
        <w:rPr>
          <w:rFonts w:cs="Times New Roman"/>
        </w:rPr>
        <w:t xml:space="preserve">Station ID# 04072150).  This station captures 280 </w:t>
      </w:r>
      <w:r>
        <w:rPr>
          <w:rFonts w:cs="Times New Roman"/>
        </w:rPr>
        <w:t>km</w:t>
      </w:r>
      <w:r w:rsidRPr="009808F3">
        <w:rPr>
          <w:rFonts w:cs="Times New Roman"/>
          <w:vertAlign w:val="superscript"/>
        </w:rPr>
        <w:t>2</w:t>
      </w:r>
      <w:r>
        <w:rPr>
          <w:rFonts w:cs="Times New Roman"/>
        </w:rPr>
        <w:t xml:space="preserve"> </w:t>
      </w:r>
      <w:r w:rsidRPr="00CE3E9B">
        <w:rPr>
          <w:rFonts w:cs="Times New Roman"/>
        </w:rPr>
        <w:t xml:space="preserve">of the 392 </w:t>
      </w:r>
      <w:r>
        <w:rPr>
          <w:rFonts w:cs="Times New Roman"/>
        </w:rPr>
        <w:t>km</w:t>
      </w:r>
      <w:r w:rsidRPr="009808F3">
        <w:rPr>
          <w:rFonts w:cs="Times New Roman"/>
          <w:vertAlign w:val="superscript"/>
        </w:rPr>
        <w:t>2</w:t>
      </w:r>
      <w:r w:rsidRPr="00CE3E9B">
        <w:rPr>
          <w:rFonts w:cs="Times New Roman"/>
        </w:rPr>
        <w:t xml:space="preserve"> watershed, and is located </w:t>
      </w:r>
      <w:r>
        <w:rPr>
          <w:rFonts w:cs="Times New Roman"/>
        </w:rPr>
        <w:t>nearly 11 km</w:t>
      </w:r>
      <w:r w:rsidRPr="00CE3E9B">
        <w:rPr>
          <w:rFonts w:cs="Times New Roman"/>
        </w:rPr>
        <w:t xml:space="preserve"> upstream from the mouth of Duck Creek.  The station on Duck Creek is equipped with several pieces of monitoring equipment.  A nitrogen-gas bubbler system is used to measure the water level of the stream.  An ISCO 3700R refrigerated automatic sampler (Teledyne Isco, Inc., Lincoln, NE) is used to collect </w:t>
      </w:r>
      <w:r>
        <w:rPr>
          <w:rFonts w:cs="Times New Roman"/>
        </w:rPr>
        <w:t xml:space="preserve">samples </w:t>
      </w:r>
      <w:r w:rsidRPr="00CE3E9B">
        <w:rPr>
          <w:rFonts w:cs="Times New Roman"/>
        </w:rPr>
        <w:t>at pre-determined criteria, such as defined time intervals or water level heights.</w:t>
      </w:r>
      <w:r>
        <w:rPr>
          <w:rFonts w:cs="Times New Roman"/>
        </w:rPr>
        <w:t xml:space="preserve">  </w:t>
      </w:r>
      <w:r w:rsidRPr="00CE3E9B">
        <w:rPr>
          <w:rFonts w:cs="Times New Roman"/>
        </w:rPr>
        <w:t xml:space="preserve">Water quality sampling </w:t>
      </w:r>
      <w:r>
        <w:rPr>
          <w:rFonts w:cs="Times New Roman"/>
        </w:rPr>
        <w:t xml:space="preserve">and laboratory analysis of samples </w:t>
      </w:r>
      <w:r w:rsidRPr="00CE3E9B">
        <w:rPr>
          <w:rFonts w:cs="Times New Roman"/>
        </w:rPr>
        <w:t>at the USGS Duck Creek station ha</w:t>
      </w:r>
      <w:r>
        <w:rPr>
          <w:rFonts w:cs="Times New Roman"/>
        </w:rPr>
        <w:t>ve</w:t>
      </w:r>
      <w:r w:rsidRPr="00CE3E9B">
        <w:rPr>
          <w:rFonts w:cs="Times New Roman"/>
        </w:rPr>
        <w:t xml:space="preserve"> followed methods established by the USGS (Shelton</w:t>
      </w:r>
      <w:r>
        <w:rPr>
          <w:rFonts w:cs="Times New Roman"/>
        </w:rPr>
        <w:t>,</w:t>
      </w:r>
      <w:r w:rsidRPr="00CE3E9B">
        <w:rPr>
          <w:rFonts w:cs="Times New Roman"/>
        </w:rPr>
        <w:t xml:space="preserve"> 1994).</w:t>
      </w:r>
    </w:p>
    <w:p w:rsidR="001B1FF7" w:rsidRDefault="001B1FF7" w:rsidP="001B1FF7">
      <w:pPr>
        <w:spacing w:after="120"/>
        <w:ind w:firstLine="720"/>
        <w:rPr>
          <w:rFonts w:cs="Times New Roman"/>
        </w:rPr>
      </w:pPr>
      <w:r w:rsidRPr="00CE3E9B">
        <w:rPr>
          <w:rFonts w:cs="Times New Roman"/>
        </w:rPr>
        <w:t xml:space="preserve">Continuous water-stage </w:t>
      </w:r>
      <w:r>
        <w:rPr>
          <w:rFonts w:cs="Times New Roman"/>
        </w:rPr>
        <w:t>and derived discharge have</w:t>
      </w:r>
      <w:r w:rsidRPr="00CE3E9B">
        <w:rPr>
          <w:rFonts w:cs="Times New Roman"/>
        </w:rPr>
        <w:t xml:space="preserve"> been recorded since the stations inception until present</w:t>
      </w:r>
      <w:r>
        <w:rPr>
          <w:rFonts w:cs="Times New Roman"/>
        </w:rPr>
        <w:t>,</w:t>
      </w:r>
      <w:r w:rsidRPr="00CE3E9B">
        <w:rPr>
          <w:rFonts w:cs="Times New Roman"/>
        </w:rPr>
        <w:t xml:space="preserve"> with water quality samples being collected intermittently.  </w:t>
      </w:r>
      <w:r>
        <w:rPr>
          <w:rFonts w:cs="Times New Roman"/>
        </w:rPr>
        <w:t xml:space="preserve">Nutrient and suspended </w:t>
      </w:r>
      <w:r w:rsidR="006D732D">
        <w:rPr>
          <w:rFonts w:cs="Times New Roman"/>
        </w:rPr>
        <w:t xml:space="preserve">solids or </w:t>
      </w:r>
      <w:r>
        <w:rPr>
          <w:rFonts w:cs="Times New Roman"/>
        </w:rPr>
        <w:t>sediment s</w:t>
      </w:r>
      <w:r w:rsidRPr="00CE3E9B">
        <w:rPr>
          <w:rFonts w:cs="Times New Roman"/>
        </w:rPr>
        <w:t>ampling intensities have fluctuated through</w:t>
      </w:r>
      <w:r>
        <w:rPr>
          <w:rFonts w:cs="Times New Roman"/>
        </w:rPr>
        <w:t>out</w:t>
      </w:r>
      <w:r w:rsidRPr="00CE3E9B">
        <w:rPr>
          <w:rFonts w:cs="Times New Roman"/>
        </w:rPr>
        <w:t xml:space="preserve"> the entire monitoring </w:t>
      </w:r>
      <w:r>
        <w:rPr>
          <w:rFonts w:cs="Times New Roman"/>
        </w:rPr>
        <w:t>record,</w:t>
      </w:r>
      <w:r w:rsidRPr="00CE3E9B">
        <w:rPr>
          <w:rFonts w:cs="Times New Roman"/>
        </w:rPr>
        <w:t xml:space="preserve"> likely </w:t>
      </w:r>
      <w:r>
        <w:rPr>
          <w:rFonts w:cs="Times New Roman"/>
        </w:rPr>
        <w:t>as a result of</w:t>
      </w:r>
      <w:r w:rsidRPr="00CE3E9B">
        <w:rPr>
          <w:rFonts w:cs="Times New Roman"/>
        </w:rPr>
        <w:t xml:space="preserve"> funding </w:t>
      </w:r>
      <w:r>
        <w:rPr>
          <w:rFonts w:cs="Times New Roman"/>
        </w:rPr>
        <w:t xml:space="preserve">limitations </w:t>
      </w:r>
      <w:r w:rsidRPr="00CE3E9B">
        <w:rPr>
          <w:rFonts w:cs="Times New Roman"/>
        </w:rPr>
        <w:t xml:space="preserve">and </w:t>
      </w:r>
      <w:r>
        <w:rPr>
          <w:rFonts w:cs="Times New Roman"/>
        </w:rPr>
        <w:t>varying monitoring objectives</w:t>
      </w:r>
      <w:r w:rsidRPr="00CE3E9B">
        <w:rPr>
          <w:rFonts w:cs="Times New Roman"/>
        </w:rPr>
        <w:t xml:space="preserve"> and seem to </w:t>
      </w:r>
      <w:r>
        <w:rPr>
          <w:rFonts w:cs="Times New Roman"/>
        </w:rPr>
        <w:t xml:space="preserve">fall into </w:t>
      </w:r>
      <w:r w:rsidRPr="00CE3E9B">
        <w:rPr>
          <w:rFonts w:cs="Times New Roman"/>
        </w:rPr>
        <w:t xml:space="preserve">three </w:t>
      </w:r>
      <w:r>
        <w:rPr>
          <w:rFonts w:cs="Times New Roman"/>
        </w:rPr>
        <w:t xml:space="preserve">distinct </w:t>
      </w:r>
      <w:r w:rsidRPr="00CE3E9B">
        <w:rPr>
          <w:rFonts w:cs="Times New Roman"/>
        </w:rPr>
        <w:t xml:space="preserve">periods.  </w:t>
      </w:r>
      <w:r>
        <w:rPr>
          <w:rFonts w:cs="Times New Roman"/>
        </w:rPr>
        <w:t>T</w:t>
      </w:r>
      <w:r w:rsidRPr="00CE3E9B">
        <w:rPr>
          <w:rFonts w:cs="Times New Roman"/>
        </w:rPr>
        <w:t>he sampling protocol for the first period (</w:t>
      </w:r>
      <w:r w:rsidR="00DF5371">
        <w:rPr>
          <w:rFonts w:cs="Times New Roman"/>
        </w:rPr>
        <w:t xml:space="preserve">USGS WY </w:t>
      </w:r>
      <w:r w:rsidRPr="00CE3E9B">
        <w:rPr>
          <w:rFonts w:cs="Times New Roman"/>
        </w:rPr>
        <w:t>1989</w:t>
      </w:r>
      <w:r w:rsidR="00525F14">
        <w:rPr>
          <w:rFonts w:cs="Times New Roman"/>
        </w:rPr>
        <w:t>-</w:t>
      </w:r>
      <w:r w:rsidRPr="00CE3E9B">
        <w:rPr>
          <w:rFonts w:cs="Times New Roman"/>
        </w:rPr>
        <w:t>1995) appeared to be a combination of event-based, low flow and biweekly sampling.</w:t>
      </w:r>
      <w:r>
        <w:rPr>
          <w:rFonts w:cs="Times New Roman"/>
        </w:rPr>
        <w:t xml:space="preserve">  S</w:t>
      </w:r>
      <w:r w:rsidRPr="00CE3E9B">
        <w:rPr>
          <w:rFonts w:cs="Times New Roman"/>
        </w:rPr>
        <w:t>amples collected during the middle period (</w:t>
      </w:r>
      <w:r w:rsidR="00DF5371">
        <w:rPr>
          <w:rFonts w:cs="Times New Roman"/>
        </w:rPr>
        <w:t xml:space="preserve">USGS WY </w:t>
      </w:r>
      <w:r w:rsidRPr="00CE3E9B">
        <w:rPr>
          <w:rFonts w:cs="Times New Roman"/>
        </w:rPr>
        <w:t>1996</w:t>
      </w:r>
      <w:r w:rsidR="00525F14">
        <w:rPr>
          <w:rFonts w:cs="Times New Roman"/>
        </w:rPr>
        <w:t>-</w:t>
      </w:r>
      <w:r w:rsidRPr="00CE3E9B">
        <w:rPr>
          <w:rFonts w:cs="Times New Roman"/>
        </w:rPr>
        <w:t xml:space="preserve">2003) </w:t>
      </w:r>
      <w:r>
        <w:rPr>
          <w:rFonts w:cs="Times New Roman"/>
        </w:rPr>
        <w:t xml:space="preserve">appear to have been primarily </w:t>
      </w:r>
      <w:r w:rsidRPr="00CE3E9B">
        <w:rPr>
          <w:rFonts w:cs="Times New Roman"/>
        </w:rPr>
        <w:t>collected on a monthly basis.</w:t>
      </w:r>
      <w:r>
        <w:rPr>
          <w:rFonts w:cs="Times New Roman"/>
        </w:rPr>
        <w:t xml:space="preserve">  </w:t>
      </w:r>
      <w:r w:rsidRPr="00CE3E9B">
        <w:rPr>
          <w:rFonts w:cs="Times New Roman"/>
        </w:rPr>
        <w:t xml:space="preserve">The sampling protocol for the </w:t>
      </w:r>
      <w:r>
        <w:rPr>
          <w:rFonts w:cs="Times New Roman"/>
        </w:rPr>
        <w:t xml:space="preserve">third </w:t>
      </w:r>
      <w:r w:rsidRPr="00CE3E9B">
        <w:rPr>
          <w:rFonts w:cs="Times New Roman"/>
        </w:rPr>
        <w:t>period (</w:t>
      </w:r>
      <w:r w:rsidR="00DF5371">
        <w:rPr>
          <w:rFonts w:cs="Times New Roman"/>
        </w:rPr>
        <w:t xml:space="preserve">USGS WY </w:t>
      </w:r>
      <w:r w:rsidRPr="00CE3E9B">
        <w:rPr>
          <w:rFonts w:cs="Times New Roman"/>
        </w:rPr>
        <w:t>2004</w:t>
      </w:r>
      <w:r w:rsidR="00525F14">
        <w:rPr>
          <w:rFonts w:cs="Times New Roman"/>
        </w:rPr>
        <w:t>-</w:t>
      </w:r>
      <w:r w:rsidRPr="00C61954">
        <w:rPr>
          <w:rFonts w:cs="Times New Roman"/>
        </w:rPr>
        <w:t>2008) was based on an objective of providing accurate daily loads of TSS and TP, and sampling included a combination of event-based, low flow and biweekly samples (</w:t>
      </w:r>
      <w:r w:rsidR="00FB16A9" w:rsidRPr="00C61954">
        <w:rPr>
          <w:rFonts w:cs="Times New Roman"/>
        </w:rPr>
        <w:t>Gracyzk et al. 2012</w:t>
      </w:r>
      <w:r w:rsidRPr="00C61954">
        <w:rPr>
          <w:rFonts w:cs="Times New Roman"/>
        </w:rPr>
        <w:t>).  Sampling and subsequent data analysis during the third period was conducted through the L</w:t>
      </w:r>
      <w:r w:rsidR="0056085B" w:rsidRPr="00C61954">
        <w:rPr>
          <w:rFonts w:cs="Times New Roman"/>
        </w:rPr>
        <w:t>ower Fox River Watershed Monitoring Project</w:t>
      </w:r>
      <w:r w:rsidRPr="00C61954">
        <w:rPr>
          <w:rFonts w:cs="Times New Roman"/>
        </w:rPr>
        <w:t>, with funding by the USGS, Oneida Tribe and UW-Green Bay</w:t>
      </w:r>
      <w:r w:rsidR="00FB16A9" w:rsidRPr="00C61954">
        <w:rPr>
          <w:rFonts w:cs="Times New Roman"/>
        </w:rPr>
        <w:t xml:space="preserve"> (Gracyzk et al. 2012)</w:t>
      </w:r>
      <w:r w:rsidRPr="00C61954">
        <w:rPr>
          <w:rFonts w:cs="Times New Roman"/>
        </w:rPr>
        <w:t xml:space="preserve">.  </w:t>
      </w:r>
      <w:r w:rsidRPr="00C61954">
        <w:rPr>
          <w:rFonts w:cs="Times New Roman"/>
          <w:u w:val="single"/>
        </w:rPr>
        <w:t>Monitoring conducted by UW-Green Bay through th</w:t>
      </w:r>
      <w:r w:rsidR="00EE1ACD" w:rsidRPr="00C61954">
        <w:rPr>
          <w:rFonts w:cs="Times New Roman"/>
          <w:u w:val="single"/>
        </w:rPr>
        <w:t xml:space="preserve">e current </w:t>
      </w:r>
      <w:r w:rsidRPr="00C61954">
        <w:rPr>
          <w:rFonts w:cs="Times New Roman"/>
          <w:u w:val="single"/>
        </w:rPr>
        <w:t>study</w:t>
      </w:r>
      <w:r w:rsidRPr="00C61954">
        <w:rPr>
          <w:rFonts w:cs="Times New Roman"/>
        </w:rPr>
        <w:t xml:space="preserve"> involved collecting </w:t>
      </w:r>
      <w:r w:rsidR="00C61954" w:rsidRPr="00C61954">
        <w:rPr>
          <w:rFonts w:cs="Times New Roman"/>
        </w:rPr>
        <w:t xml:space="preserve">45 </w:t>
      </w:r>
      <w:r w:rsidRPr="00C61954">
        <w:rPr>
          <w:rFonts w:cs="Times New Roman"/>
        </w:rPr>
        <w:t>samples f</w:t>
      </w:r>
      <w:r w:rsidR="00FB16A9" w:rsidRPr="00C61954">
        <w:rPr>
          <w:rFonts w:cs="Times New Roman"/>
        </w:rPr>
        <w:t>rom 8/29/</w:t>
      </w:r>
      <w:r w:rsidRPr="00C61954">
        <w:rPr>
          <w:rFonts w:cs="Times New Roman"/>
        </w:rPr>
        <w:t>2011</w:t>
      </w:r>
      <w:r w:rsidR="00FB16A9" w:rsidRPr="00C61954">
        <w:rPr>
          <w:rFonts w:cs="Times New Roman"/>
        </w:rPr>
        <w:t xml:space="preserve"> to 8/2</w:t>
      </w:r>
      <w:r w:rsidR="00494B7A" w:rsidRPr="00C61954">
        <w:rPr>
          <w:rFonts w:cs="Times New Roman"/>
        </w:rPr>
        <w:t>9</w:t>
      </w:r>
      <w:r w:rsidR="00FB16A9" w:rsidRPr="00C61954">
        <w:rPr>
          <w:rFonts w:cs="Times New Roman"/>
        </w:rPr>
        <w:t>/</w:t>
      </w:r>
      <w:r w:rsidRPr="00C61954">
        <w:rPr>
          <w:rFonts w:cs="Times New Roman"/>
        </w:rPr>
        <w:t>201</w:t>
      </w:r>
      <w:r w:rsidR="00494B7A" w:rsidRPr="00C61954">
        <w:rPr>
          <w:rFonts w:cs="Times New Roman"/>
        </w:rPr>
        <w:t>3</w:t>
      </w:r>
      <w:r w:rsidR="00DF5371" w:rsidRPr="00C61954">
        <w:rPr>
          <w:rFonts w:cs="Times New Roman"/>
        </w:rPr>
        <w:t>; with three supplemental samples collected 7/16/2010, 4/27/2011 and 6/23/2011 through another project which were included in the Period 4 dataset</w:t>
      </w:r>
      <w:r w:rsidR="005152E4" w:rsidRPr="00C61954">
        <w:rPr>
          <w:rFonts w:cs="Times New Roman"/>
        </w:rPr>
        <w:t xml:space="preserve"> for a total of 4</w:t>
      </w:r>
      <w:r w:rsidR="00C61954" w:rsidRPr="00C61954">
        <w:rPr>
          <w:rFonts w:cs="Times New Roman"/>
        </w:rPr>
        <w:t>8</w:t>
      </w:r>
      <w:r w:rsidR="005152E4" w:rsidRPr="00C61954">
        <w:rPr>
          <w:rFonts w:cs="Times New Roman"/>
        </w:rPr>
        <w:t xml:space="preserve"> samples</w:t>
      </w:r>
      <w:r w:rsidR="00C61954">
        <w:rPr>
          <w:rFonts w:cs="Times New Roman"/>
        </w:rPr>
        <w:t xml:space="preserve"> </w:t>
      </w:r>
      <w:r w:rsidR="00C61954" w:rsidRPr="00CE3E9B">
        <w:rPr>
          <w:rFonts w:cs="Times New Roman"/>
        </w:rPr>
        <w:t>(</w:t>
      </w:r>
      <w:r w:rsidR="00C61954">
        <w:rPr>
          <w:rFonts w:cs="Times New Roman"/>
        </w:rPr>
        <w:t xml:space="preserve">USGS WY </w:t>
      </w:r>
      <w:r w:rsidR="00C61954" w:rsidRPr="00CE3E9B">
        <w:rPr>
          <w:rFonts w:cs="Times New Roman"/>
        </w:rPr>
        <w:t>20</w:t>
      </w:r>
      <w:r w:rsidR="00ED7E46">
        <w:rPr>
          <w:rFonts w:cs="Times New Roman"/>
        </w:rPr>
        <w:t>10</w:t>
      </w:r>
      <w:r w:rsidR="00C61954" w:rsidRPr="00CE3E9B">
        <w:rPr>
          <w:rFonts w:cs="Times New Roman"/>
        </w:rPr>
        <w:t>-</w:t>
      </w:r>
      <w:r w:rsidR="00C61954" w:rsidRPr="00C61954">
        <w:rPr>
          <w:rFonts w:cs="Times New Roman"/>
        </w:rPr>
        <w:t>20</w:t>
      </w:r>
      <w:r w:rsidR="00ED7E46">
        <w:rPr>
          <w:rFonts w:cs="Times New Roman"/>
        </w:rPr>
        <w:t>13</w:t>
      </w:r>
      <w:r w:rsidR="00C61954" w:rsidRPr="00C61954">
        <w:rPr>
          <w:rFonts w:cs="Times New Roman"/>
        </w:rPr>
        <w:t>)</w:t>
      </w:r>
      <w:r w:rsidRPr="00C61954">
        <w:rPr>
          <w:rFonts w:cs="Times New Roman"/>
        </w:rPr>
        <w:t xml:space="preserve">.  </w:t>
      </w:r>
      <w:r w:rsidR="00494B7A" w:rsidRPr="00C61954">
        <w:rPr>
          <w:rFonts w:cs="Times New Roman"/>
        </w:rPr>
        <w:t>Ideally, even a</w:t>
      </w:r>
      <w:r w:rsidRPr="00C61954">
        <w:rPr>
          <w:rFonts w:cs="Times New Roman"/>
        </w:rPr>
        <w:t xml:space="preserve"> longer </w:t>
      </w:r>
      <w:r w:rsidR="0056085B" w:rsidRPr="00C61954">
        <w:rPr>
          <w:rFonts w:cs="Times New Roman"/>
        </w:rPr>
        <w:t xml:space="preserve">monitoring </w:t>
      </w:r>
      <w:r w:rsidRPr="00C61954">
        <w:rPr>
          <w:rFonts w:cs="Times New Roman"/>
        </w:rPr>
        <w:t xml:space="preserve">period would’ve been preferred to increase the sample size and inherent ability to detect potential trends or differences between </w:t>
      </w:r>
      <w:r w:rsidR="00ED7E46">
        <w:rPr>
          <w:rFonts w:cs="Times New Roman"/>
        </w:rPr>
        <w:t>P</w:t>
      </w:r>
      <w:r w:rsidRPr="00C61954">
        <w:rPr>
          <w:rFonts w:cs="Times New Roman"/>
        </w:rPr>
        <w:t>eriod</w:t>
      </w:r>
      <w:r w:rsidR="00ED7E46">
        <w:rPr>
          <w:rFonts w:cs="Times New Roman"/>
        </w:rPr>
        <w:t xml:space="preserve"> 3 and 4</w:t>
      </w:r>
      <w:r w:rsidRPr="00C61954">
        <w:rPr>
          <w:rFonts w:cs="Times New Roman"/>
        </w:rPr>
        <w:t>.</w:t>
      </w:r>
      <w:r w:rsidDel="00C35520">
        <w:rPr>
          <w:rFonts w:cs="Times New Roman"/>
        </w:rPr>
        <w:t xml:space="preserve"> </w:t>
      </w:r>
    </w:p>
    <w:p w:rsidR="00F07940" w:rsidRDefault="00551F57">
      <w:pPr>
        <w:pStyle w:val="Heading2"/>
      </w:pPr>
      <w:r>
        <w:t>Water Quality Trend Analysis</w:t>
      </w:r>
    </w:p>
    <w:p w:rsidR="0056085B" w:rsidRDefault="00C35520" w:rsidP="007A760C">
      <w:pPr>
        <w:spacing w:after="120"/>
        <w:ind w:firstLine="720"/>
        <w:rPr>
          <w:rFonts w:cs="Times New Roman"/>
        </w:rPr>
      </w:pPr>
      <w:r>
        <w:rPr>
          <w:rFonts w:cs="Times New Roman"/>
        </w:rPr>
        <w:t>I</w:t>
      </w:r>
      <w:r w:rsidR="00114727" w:rsidRPr="00CE3E9B">
        <w:rPr>
          <w:rFonts w:cs="Times New Roman"/>
        </w:rPr>
        <w:t xml:space="preserve">n the past </w:t>
      </w:r>
      <w:r w:rsidR="006C38DA" w:rsidRPr="00F946CB">
        <w:rPr>
          <w:rFonts w:cs="Times New Roman"/>
        </w:rPr>
        <w:t>2</w:t>
      </w:r>
      <w:r w:rsidR="000B0DB4">
        <w:rPr>
          <w:rFonts w:cs="Times New Roman"/>
        </w:rPr>
        <w:t>4</w:t>
      </w:r>
      <w:r w:rsidR="00114727" w:rsidRPr="00F946CB">
        <w:rPr>
          <w:rFonts w:cs="Times New Roman"/>
        </w:rPr>
        <w:t xml:space="preserve"> years</w:t>
      </w:r>
      <w:r w:rsidR="00114727" w:rsidRPr="00CE3E9B">
        <w:rPr>
          <w:rFonts w:cs="Times New Roman"/>
        </w:rPr>
        <w:t xml:space="preserve"> there have been substantial efforts to implement </w:t>
      </w:r>
      <w:r>
        <w:rPr>
          <w:rFonts w:cs="Times New Roman"/>
        </w:rPr>
        <w:t>Best Management Practices (</w:t>
      </w:r>
      <w:r w:rsidR="00114727" w:rsidRPr="00CE3E9B">
        <w:rPr>
          <w:rFonts w:cs="Times New Roman"/>
        </w:rPr>
        <w:t>BMPs</w:t>
      </w:r>
      <w:r>
        <w:rPr>
          <w:rFonts w:cs="Times New Roman"/>
        </w:rPr>
        <w:t>)</w:t>
      </w:r>
      <w:r w:rsidR="00114727" w:rsidRPr="00CE3E9B">
        <w:rPr>
          <w:rFonts w:cs="Times New Roman"/>
        </w:rPr>
        <w:t xml:space="preserve"> and manage agricultural lands with the goal of protecting water quality in the Duck Creek watershed</w:t>
      </w:r>
      <w:r>
        <w:rPr>
          <w:rFonts w:cs="Times New Roman"/>
        </w:rPr>
        <w:t xml:space="preserve"> (</w:t>
      </w:r>
      <w:r w:rsidR="009448DD">
        <w:rPr>
          <w:rFonts w:cs="Times New Roman"/>
        </w:rPr>
        <w:t>Cibulka 2009</w:t>
      </w:r>
      <w:r>
        <w:rPr>
          <w:rFonts w:cs="Times New Roman"/>
        </w:rPr>
        <w:t>)</w:t>
      </w:r>
      <w:r w:rsidR="00114727" w:rsidRPr="00CE3E9B">
        <w:rPr>
          <w:rFonts w:cs="Times New Roman"/>
        </w:rPr>
        <w:t xml:space="preserve">.  </w:t>
      </w:r>
      <w:r>
        <w:rPr>
          <w:rFonts w:cs="Times New Roman"/>
        </w:rPr>
        <w:t>T</w:t>
      </w:r>
      <w:r w:rsidR="00114727" w:rsidRPr="00CE3E9B">
        <w:rPr>
          <w:rFonts w:cs="Times New Roman"/>
        </w:rPr>
        <w:t>he effectiveness of these effort</w:t>
      </w:r>
      <w:r w:rsidR="00781676">
        <w:rPr>
          <w:rFonts w:cs="Times New Roman"/>
        </w:rPr>
        <w:t xml:space="preserve">s </w:t>
      </w:r>
      <w:r w:rsidR="006C38DA">
        <w:rPr>
          <w:rFonts w:cs="Times New Roman"/>
        </w:rPr>
        <w:t>were evaluated through examination of water quality trends in Duck Creek</w:t>
      </w:r>
      <w:r>
        <w:rPr>
          <w:rFonts w:cs="Times New Roman"/>
        </w:rPr>
        <w:t xml:space="preserve"> by Cibulka (2009) and Cibulka et al. (2010)</w:t>
      </w:r>
      <w:r w:rsidR="006C38DA">
        <w:rPr>
          <w:rFonts w:cs="Times New Roman"/>
        </w:rPr>
        <w:t>.</w:t>
      </w:r>
      <w:r w:rsidR="00114727" w:rsidRPr="00CE3E9B">
        <w:rPr>
          <w:rFonts w:cs="Times New Roman"/>
        </w:rPr>
        <w:t xml:space="preserve">  </w:t>
      </w:r>
      <w:r w:rsidR="006C38DA">
        <w:rPr>
          <w:rFonts w:cs="Times New Roman"/>
        </w:rPr>
        <w:t xml:space="preserve">A </w:t>
      </w:r>
      <w:r w:rsidR="00114727" w:rsidRPr="00CE3E9B">
        <w:rPr>
          <w:rFonts w:cs="Times New Roman"/>
        </w:rPr>
        <w:t>20 year water quality data</w:t>
      </w:r>
      <w:r w:rsidR="006C38DA">
        <w:rPr>
          <w:rFonts w:cs="Times New Roman"/>
        </w:rPr>
        <w:t>set f</w:t>
      </w:r>
      <w:r w:rsidR="0056085B">
        <w:rPr>
          <w:rFonts w:cs="Times New Roman"/>
        </w:rPr>
        <w:t>rom</w:t>
      </w:r>
      <w:r w:rsidR="006C38DA">
        <w:rPr>
          <w:rFonts w:cs="Times New Roman"/>
        </w:rPr>
        <w:t xml:space="preserve"> </w:t>
      </w:r>
      <w:r>
        <w:rPr>
          <w:rFonts w:cs="Times New Roman"/>
        </w:rPr>
        <w:t xml:space="preserve">the USGS </w:t>
      </w:r>
      <w:r w:rsidR="00114727" w:rsidRPr="00CE3E9B">
        <w:rPr>
          <w:rFonts w:cs="Times New Roman"/>
        </w:rPr>
        <w:t xml:space="preserve">Duck Creek monitoring station </w:t>
      </w:r>
      <w:r w:rsidR="00B51597">
        <w:rPr>
          <w:rFonts w:cs="Times New Roman"/>
        </w:rPr>
        <w:t xml:space="preserve">located near the </w:t>
      </w:r>
      <w:r w:rsidR="00B51597" w:rsidRPr="00B51597">
        <w:rPr>
          <w:rFonts w:cs="Times New Roman"/>
        </w:rPr>
        <w:t>County Road FF bridge (USGS Station ID# 04072150)</w:t>
      </w:r>
      <w:r>
        <w:rPr>
          <w:rFonts w:cs="Times New Roman"/>
        </w:rPr>
        <w:t xml:space="preserve"> </w:t>
      </w:r>
      <w:r w:rsidR="006C38DA">
        <w:rPr>
          <w:rFonts w:cs="Times New Roman"/>
        </w:rPr>
        <w:t>was assembled and statistically analyzed to d</w:t>
      </w:r>
      <w:r w:rsidR="00114727" w:rsidRPr="00CE3E9B">
        <w:rPr>
          <w:rFonts w:cs="Times New Roman"/>
        </w:rPr>
        <w:t xml:space="preserve">etermine if trends in </w:t>
      </w:r>
      <w:r w:rsidR="00EE1ACD">
        <w:rPr>
          <w:rFonts w:cs="Times New Roman"/>
        </w:rPr>
        <w:t>total suspended solids (TSS), total phosphorus (</w:t>
      </w:r>
      <w:r w:rsidR="00EE1ACD" w:rsidRPr="00CE3E9B">
        <w:rPr>
          <w:rFonts w:cs="Times New Roman"/>
        </w:rPr>
        <w:t>TP</w:t>
      </w:r>
      <w:r w:rsidR="00EE1ACD">
        <w:rPr>
          <w:rFonts w:cs="Times New Roman"/>
        </w:rPr>
        <w:t>)</w:t>
      </w:r>
      <w:r w:rsidR="00EE1ACD" w:rsidRPr="00CE3E9B">
        <w:rPr>
          <w:rFonts w:cs="Times New Roman"/>
        </w:rPr>
        <w:t xml:space="preserve"> and </w:t>
      </w:r>
      <w:r w:rsidR="00EE1ACD">
        <w:rPr>
          <w:rFonts w:cs="Times New Roman"/>
        </w:rPr>
        <w:t>dissolved total phosphorus (</w:t>
      </w:r>
      <w:r w:rsidR="00EE1ACD" w:rsidRPr="00CE3E9B">
        <w:rPr>
          <w:rFonts w:cs="Times New Roman"/>
        </w:rPr>
        <w:t>DP</w:t>
      </w:r>
      <w:r w:rsidR="00EE1ACD">
        <w:rPr>
          <w:rFonts w:cs="Times New Roman"/>
        </w:rPr>
        <w:t xml:space="preserve">) </w:t>
      </w:r>
      <w:r w:rsidR="00114727" w:rsidRPr="00CE3E9B">
        <w:rPr>
          <w:rFonts w:cs="Times New Roman"/>
        </w:rPr>
        <w:t>occurred</w:t>
      </w:r>
      <w:r w:rsidR="000B0DB4">
        <w:rPr>
          <w:rFonts w:cs="Times New Roman"/>
        </w:rPr>
        <w:t xml:space="preserve"> during </w:t>
      </w:r>
      <w:r w:rsidR="00B51597">
        <w:rPr>
          <w:rFonts w:cs="Times New Roman"/>
        </w:rPr>
        <w:t>a</w:t>
      </w:r>
      <w:r w:rsidR="000B0DB4">
        <w:rPr>
          <w:rFonts w:cs="Times New Roman"/>
        </w:rPr>
        <w:t xml:space="preserve"> 1989 to 2008 </w:t>
      </w:r>
      <w:r w:rsidR="00B51597">
        <w:rPr>
          <w:rFonts w:cs="Times New Roman"/>
        </w:rPr>
        <w:t xml:space="preserve">water </w:t>
      </w:r>
      <w:r w:rsidR="000B0DB4">
        <w:rPr>
          <w:rFonts w:cs="Times New Roman"/>
        </w:rPr>
        <w:t>monitoring period</w:t>
      </w:r>
      <w:r w:rsidR="0070250C">
        <w:rPr>
          <w:rFonts w:cs="Times New Roman"/>
        </w:rPr>
        <w:t xml:space="preserve"> (USGS water years)</w:t>
      </w:r>
      <w:r w:rsidR="00114727" w:rsidRPr="00CE3E9B">
        <w:rPr>
          <w:rFonts w:cs="Times New Roman"/>
        </w:rPr>
        <w:t>.</w:t>
      </w:r>
      <w:r w:rsidR="00B10D60">
        <w:rPr>
          <w:rFonts w:cs="Times New Roman"/>
        </w:rPr>
        <w:t xml:space="preserve">  </w:t>
      </w:r>
      <w:r w:rsidR="00D65356">
        <w:rPr>
          <w:rFonts w:cs="Times New Roman"/>
        </w:rPr>
        <w:t xml:space="preserve">The </w:t>
      </w:r>
      <w:r w:rsidR="00B51597">
        <w:rPr>
          <w:rFonts w:cs="Times New Roman"/>
        </w:rPr>
        <w:t xml:space="preserve">major findings </w:t>
      </w:r>
      <w:r w:rsidR="00D65356">
        <w:rPr>
          <w:rFonts w:cs="Times New Roman"/>
        </w:rPr>
        <w:t>from this earlier study are summarized below:</w:t>
      </w:r>
    </w:p>
    <w:p w:rsidR="00D65356" w:rsidRDefault="0056085B" w:rsidP="0056085B">
      <w:pPr>
        <w:spacing w:after="200" w:line="276" w:lineRule="auto"/>
        <w:rPr>
          <w:rFonts w:cs="Times New Roman"/>
        </w:rPr>
      </w:pPr>
      <w:r>
        <w:rPr>
          <w:rFonts w:cs="Times New Roman"/>
        </w:rPr>
        <w:br w:type="page"/>
      </w:r>
    </w:p>
    <w:p w:rsidR="00D65356" w:rsidRPr="00D65356" w:rsidRDefault="003E750C" w:rsidP="00D65356">
      <w:pPr>
        <w:pStyle w:val="Heading2"/>
        <w:rPr>
          <w:b w:val="0"/>
          <w:i/>
        </w:rPr>
      </w:pPr>
      <w:r w:rsidRPr="003E750C">
        <w:rPr>
          <w:b w:val="0"/>
          <w:i/>
        </w:rPr>
        <w:lastRenderedPageBreak/>
        <w:t xml:space="preserve">Trend Analysis Summary </w:t>
      </w:r>
      <w:r w:rsidR="009448DD">
        <w:rPr>
          <w:b w:val="0"/>
          <w:i/>
        </w:rPr>
        <w:t xml:space="preserve">of Previous Study </w:t>
      </w:r>
      <w:r w:rsidRPr="003E750C">
        <w:rPr>
          <w:b w:val="0"/>
          <w:i/>
        </w:rPr>
        <w:t>(</w:t>
      </w:r>
      <w:r w:rsidR="00846D32">
        <w:rPr>
          <w:b w:val="0"/>
          <w:i/>
        </w:rPr>
        <w:t xml:space="preserve">Cibulka 2009, </w:t>
      </w:r>
      <w:r w:rsidRPr="003E750C">
        <w:rPr>
          <w:b w:val="0"/>
          <w:i/>
        </w:rPr>
        <w:t>Cibulka et al. 2010)</w:t>
      </w:r>
    </w:p>
    <w:p w:rsidR="00D65356" w:rsidRPr="00CE3E9B" w:rsidRDefault="00D65356" w:rsidP="00D65356">
      <w:pPr>
        <w:pStyle w:val="ListParagraph"/>
        <w:numPr>
          <w:ilvl w:val="0"/>
          <w:numId w:val="4"/>
        </w:numPr>
        <w:spacing w:after="120"/>
        <w:rPr>
          <w:rFonts w:cs="Times New Roman"/>
        </w:rPr>
      </w:pPr>
      <w:r w:rsidRPr="00CE3E9B">
        <w:rPr>
          <w:rFonts w:cs="Times New Roman"/>
        </w:rPr>
        <w:t xml:space="preserve">A 20-year multiple linear regression </w:t>
      </w:r>
      <w:r>
        <w:rPr>
          <w:rFonts w:cs="Times New Roman"/>
        </w:rPr>
        <w:t xml:space="preserve">trend analysis </w:t>
      </w:r>
      <w:r w:rsidR="008B4E25">
        <w:rPr>
          <w:rFonts w:cs="Times New Roman"/>
        </w:rPr>
        <w:t xml:space="preserve">(1989-2008) </w:t>
      </w:r>
      <w:r>
        <w:rPr>
          <w:rFonts w:cs="Times New Roman"/>
        </w:rPr>
        <w:t>was performed with TP and DP water concentrations.  However, the results were deemed invalid because the observed declines occurred in a non-linear fashion, primarily during the first period, thereby violating assumptions inherent to linear regression analysis.</w:t>
      </w:r>
      <w:r w:rsidR="00EE1ACD">
        <w:rPr>
          <w:rFonts w:cs="Times New Roman"/>
        </w:rPr>
        <w:t xml:space="preserve">  Potential long-term trends in TSS concentrations were not analyzed because nearly all the samples prior to 2004 were analyzed for suspended sediment.</w:t>
      </w:r>
    </w:p>
    <w:p w:rsidR="00D65356" w:rsidRPr="00CE3E9B" w:rsidRDefault="00D65356" w:rsidP="00D65356">
      <w:pPr>
        <w:pStyle w:val="ListParagraph"/>
        <w:numPr>
          <w:ilvl w:val="0"/>
          <w:numId w:val="4"/>
        </w:numPr>
        <w:spacing w:after="120"/>
        <w:rPr>
          <w:rFonts w:cs="Times New Roman"/>
        </w:rPr>
      </w:pPr>
      <w:r w:rsidRPr="00CE3E9B">
        <w:rPr>
          <w:rFonts w:cs="Times New Roman"/>
        </w:rPr>
        <w:t xml:space="preserve">A multiple linear regression </w:t>
      </w:r>
      <w:r>
        <w:rPr>
          <w:rFonts w:cs="Times New Roman"/>
        </w:rPr>
        <w:t xml:space="preserve">trend analysis was conducted </w:t>
      </w:r>
      <w:r w:rsidRPr="00CE3E9B">
        <w:rPr>
          <w:rFonts w:cs="Times New Roman"/>
        </w:rPr>
        <w:t>on Period 1 (198</w:t>
      </w:r>
      <w:r>
        <w:rPr>
          <w:rFonts w:cs="Times New Roman"/>
        </w:rPr>
        <w:t>9</w:t>
      </w:r>
      <w:r w:rsidRPr="00CE3E9B">
        <w:rPr>
          <w:rFonts w:cs="Times New Roman"/>
        </w:rPr>
        <w:t>-1995) and Period 3 (200</w:t>
      </w:r>
      <w:r>
        <w:rPr>
          <w:rFonts w:cs="Times New Roman"/>
        </w:rPr>
        <w:t>4</w:t>
      </w:r>
      <w:r w:rsidRPr="00CE3E9B">
        <w:rPr>
          <w:rFonts w:cs="Times New Roman"/>
        </w:rPr>
        <w:t xml:space="preserve">-2008) within the 20-year dataset.  This test found that TP </w:t>
      </w:r>
      <w:r>
        <w:rPr>
          <w:rFonts w:cs="Times New Roman"/>
        </w:rPr>
        <w:t xml:space="preserve">concentrations </w:t>
      </w:r>
      <w:r w:rsidRPr="00CE3E9B">
        <w:rPr>
          <w:rFonts w:cs="Times New Roman"/>
        </w:rPr>
        <w:t xml:space="preserve">decreased 10% per year and DP </w:t>
      </w:r>
      <w:r>
        <w:rPr>
          <w:rFonts w:cs="Times New Roman"/>
        </w:rPr>
        <w:t xml:space="preserve">concentrations </w:t>
      </w:r>
      <w:r w:rsidRPr="00CE3E9B">
        <w:rPr>
          <w:rFonts w:cs="Times New Roman"/>
        </w:rPr>
        <w:t>decreased 11% per year</w:t>
      </w:r>
      <w:r>
        <w:rPr>
          <w:rFonts w:cs="Times New Roman"/>
        </w:rPr>
        <w:t xml:space="preserve"> in Period 1</w:t>
      </w:r>
      <w:r w:rsidRPr="00CE3E9B">
        <w:rPr>
          <w:rFonts w:cs="Times New Roman"/>
        </w:rPr>
        <w:t xml:space="preserve">.  </w:t>
      </w:r>
      <w:r>
        <w:rPr>
          <w:rFonts w:cs="Times New Roman"/>
        </w:rPr>
        <w:t xml:space="preserve">A decrease in TP and DP concentrations was observed in Period 3 only when data from 2008 was included.  However, further analysis indicated that it </w:t>
      </w:r>
      <w:r w:rsidR="00ED7E46">
        <w:rPr>
          <w:rFonts w:cs="Times New Roman"/>
        </w:rPr>
        <w:t>was</w:t>
      </w:r>
      <w:r>
        <w:rPr>
          <w:rFonts w:cs="Times New Roman"/>
        </w:rPr>
        <w:t xml:space="preserve"> more likely that this decrease was due to unusual </w:t>
      </w:r>
      <w:r w:rsidR="009448DD">
        <w:rPr>
          <w:rFonts w:cs="Times New Roman"/>
        </w:rPr>
        <w:t>weather conditions</w:t>
      </w:r>
      <w:r>
        <w:rPr>
          <w:rFonts w:cs="Times New Roman"/>
        </w:rPr>
        <w:t xml:space="preserve"> </w:t>
      </w:r>
      <w:r w:rsidR="009448DD">
        <w:rPr>
          <w:rFonts w:cs="Times New Roman"/>
        </w:rPr>
        <w:t xml:space="preserve">(snowmelt runoff with little rain) </w:t>
      </w:r>
      <w:r>
        <w:rPr>
          <w:rFonts w:cs="Times New Roman"/>
        </w:rPr>
        <w:t>or sampling problems in 2008, rather than an abrupt change in the watershed between 2007 and 2008</w:t>
      </w:r>
      <w:r w:rsidR="008B4E25">
        <w:rPr>
          <w:rFonts w:cs="Times New Roman"/>
        </w:rPr>
        <w:t xml:space="preserve"> (see Figures 3.6 and 3.8, Cibulka 2009).</w:t>
      </w:r>
      <w:r>
        <w:rPr>
          <w:rFonts w:cs="Times New Roman"/>
        </w:rPr>
        <w:t xml:space="preserve">. </w:t>
      </w:r>
    </w:p>
    <w:p w:rsidR="00D65356" w:rsidRPr="00CE3E9B" w:rsidRDefault="00D65356" w:rsidP="00D65356">
      <w:pPr>
        <w:pStyle w:val="ListParagraph"/>
        <w:numPr>
          <w:ilvl w:val="0"/>
          <w:numId w:val="4"/>
        </w:numPr>
        <w:spacing w:after="120"/>
        <w:rPr>
          <w:rFonts w:cs="Times New Roman"/>
        </w:rPr>
      </w:pPr>
      <w:r w:rsidRPr="00CE3E9B">
        <w:rPr>
          <w:rFonts w:cs="Times New Roman"/>
        </w:rPr>
        <w:t xml:space="preserve">A Wilcoxon Rank sum test </w:t>
      </w:r>
      <w:r>
        <w:rPr>
          <w:rFonts w:cs="Times New Roman"/>
        </w:rPr>
        <w:t xml:space="preserve">was applied to </w:t>
      </w:r>
      <w:r w:rsidRPr="00CE3E9B">
        <w:rPr>
          <w:rFonts w:cs="Times New Roman"/>
        </w:rPr>
        <w:t xml:space="preserve">TP and DP </w:t>
      </w:r>
      <w:r>
        <w:rPr>
          <w:rFonts w:cs="Times New Roman"/>
        </w:rPr>
        <w:t xml:space="preserve">concentrations </w:t>
      </w:r>
      <w:r w:rsidRPr="00CE3E9B">
        <w:rPr>
          <w:rFonts w:cs="Times New Roman"/>
        </w:rPr>
        <w:t xml:space="preserve">between Periods 1 and 3 under a variety of </w:t>
      </w:r>
      <w:r>
        <w:rPr>
          <w:rFonts w:cs="Times New Roman"/>
        </w:rPr>
        <w:t xml:space="preserve">data </w:t>
      </w:r>
      <w:r w:rsidRPr="00CE3E9B">
        <w:rPr>
          <w:rFonts w:cs="Times New Roman"/>
        </w:rPr>
        <w:t>censoring and flow scenarios</w:t>
      </w:r>
      <w:r>
        <w:rPr>
          <w:rFonts w:cs="Times New Roman"/>
        </w:rPr>
        <w:t xml:space="preserve">.  In all cases, </w:t>
      </w:r>
      <w:r w:rsidRPr="00CE3E9B">
        <w:rPr>
          <w:rFonts w:cs="Times New Roman"/>
        </w:rPr>
        <w:t>TP and DP</w:t>
      </w:r>
      <w:r>
        <w:rPr>
          <w:rFonts w:cs="Times New Roman"/>
        </w:rPr>
        <w:t xml:space="preserve"> concentrations </w:t>
      </w:r>
      <w:r w:rsidRPr="00CE3E9B">
        <w:rPr>
          <w:rFonts w:cs="Times New Roman"/>
        </w:rPr>
        <w:t xml:space="preserve">were significantly </w:t>
      </w:r>
      <w:r>
        <w:rPr>
          <w:rFonts w:cs="Times New Roman"/>
        </w:rPr>
        <w:t>lower</w:t>
      </w:r>
      <w:r w:rsidRPr="00CE3E9B">
        <w:rPr>
          <w:rFonts w:cs="Times New Roman"/>
        </w:rPr>
        <w:t xml:space="preserve"> </w:t>
      </w:r>
      <w:r>
        <w:rPr>
          <w:rFonts w:cs="Times New Roman"/>
        </w:rPr>
        <w:t xml:space="preserve">in </w:t>
      </w:r>
      <w:r w:rsidRPr="00CE3E9B">
        <w:rPr>
          <w:rFonts w:cs="Times New Roman"/>
        </w:rPr>
        <w:t xml:space="preserve">Period </w:t>
      </w:r>
      <w:r>
        <w:rPr>
          <w:rFonts w:cs="Times New Roman"/>
        </w:rPr>
        <w:t>3 than in Period 1 (p &lt; 0.05)</w:t>
      </w:r>
      <w:r w:rsidRPr="00CE3E9B">
        <w:rPr>
          <w:rFonts w:cs="Times New Roman"/>
        </w:rPr>
        <w:t>.</w:t>
      </w:r>
      <w:r>
        <w:rPr>
          <w:rFonts w:cs="Times New Roman"/>
        </w:rPr>
        <w:t xml:space="preserve">  In general, the DP/TP ratio was not significantly different between the two periods.</w:t>
      </w:r>
    </w:p>
    <w:p w:rsidR="00D65356" w:rsidRDefault="00D65356" w:rsidP="00D65356">
      <w:pPr>
        <w:pStyle w:val="ListParagraph"/>
        <w:numPr>
          <w:ilvl w:val="0"/>
          <w:numId w:val="4"/>
        </w:numPr>
        <w:spacing w:after="120"/>
        <w:rPr>
          <w:rFonts w:cs="Times New Roman"/>
        </w:rPr>
      </w:pPr>
      <w:r>
        <w:rPr>
          <w:rFonts w:cs="Times New Roman"/>
        </w:rPr>
        <w:t xml:space="preserve">A Wilcoxon Rank sum test was </w:t>
      </w:r>
      <w:r w:rsidRPr="00CE3E9B">
        <w:rPr>
          <w:rFonts w:cs="Times New Roman"/>
        </w:rPr>
        <w:t xml:space="preserve">performed on </w:t>
      </w:r>
      <w:r>
        <w:rPr>
          <w:rFonts w:cs="Times New Roman"/>
        </w:rPr>
        <w:t xml:space="preserve">a subset of data that was based on </w:t>
      </w:r>
      <w:r w:rsidRPr="00CE3E9B">
        <w:rPr>
          <w:rFonts w:cs="Times New Roman"/>
        </w:rPr>
        <w:t xml:space="preserve">one sample per month, </w:t>
      </w:r>
      <w:r w:rsidR="0078581F">
        <w:rPr>
          <w:rFonts w:cs="Times New Roman"/>
        </w:rPr>
        <w:t>selected</w:t>
      </w:r>
      <w:r w:rsidRPr="00CE3E9B">
        <w:rPr>
          <w:rFonts w:cs="Times New Roman"/>
        </w:rPr>
        <w:t xml:space="preserve"> in the middle of the month to reduce potential serial correlation bias.  This test found that TP and DP concentrations were significantly </w:t>
      </w:r>
      <w:r>
        <w:rPr>
          <w:rFonts w:cs="Times New Roman"/>
        </w:rPr>
        <w:t>lower</w:t>
      </w:r>
      <w:r w:rsidRPr="00CE3E9B">
        <w:rPr>
          <w:rFonts w:cs="Times New Roman"/>
        </w:rPr>
        <w:t xml:space="preserve"> </w:t>
      </w:r>
      <w:r>
        <w:rPr>
          <w:rFonts w:cs="Times New Roman"/>
        </w:rPr>
        <w:t xml:space="preserve">in </w:t>
      </w:r>
      <w:r w:rsidRPr="00CE3E9B">
        <w:rPr>
          <w:rFonts w:cs="Times New Roman"/>
        </w:rPr>
        <w:t xml:space="preserve">Period </w:t>
      </w:r>
      <w:r>
        <w:rPr>
          <w:rFonts w:cs="Times New Roman"/>
        </w:rPr>
        <w:t>3 compared to Period 1 (p &lt; 0.05)</w:t>
      </w:r>
      <w:r w:rsidRPr="00CE3E9B">
        <w:rPr>
          <w:rFonts w:cs="Times New Roman"/>
        </w:rPr>
        <w:t>.</w:t>
      </w:r>
      <w:r>
        <w:rPr>
          <w:rFonts w:cs="Times New Roman"/>
        </w:rPr>
        <w:t xml:space="preserve">  Similar results were obtained for TP and DP concentrations when t</w:t>
      </w:r>
      <w:r w:rsidRPr="00CE3E9B">
        <w:rPr>
          <w:rFonts w:cs="Times New Roman"/>
        </w:rPr>
        <w:t>he data set was sub-sampled on a once</w:t>
      </w:r>
      <w:r>
        <w:rPr>
          <w:rFonts w:cs="Times New Roman"/>
        </w:rPr>
        <w:t xml:space="preserve"> per week</w:t>
      </w:r>
      <w:r w:rsidRPr="00CE3E9B">
        <w:rPr>
          <w:rFonts w:cs="Times New Roman"/>
        </w:rPr>
        <w:t xml:space="preserve"> basis</w:t>
      </w:r>
      <w:r>
        <w:rPr>
          <w:rFonts w:cs="Times New Roman"/>
        </w:rPr>
        <w:t xml:space="preserve"> (p &lt; 0.05).  The DP/TP ratio was not significantly different between the two periods (p &gt; 0.80).</w:t>
      </w:r>
    </w:p>
    <w:p w:rsidR="00D65356" w:rsidRPr="00144121" w:rsidRDefault="00D65356" w:rsidP="00D65356">
      <w:pPr>
        <w:pStyle w:val="ListParagraph"/>
        <w:numPr>
          <w:ilvl w:val="0"/>
          <w:numId w:val="4"/>
        </w:numPr>
        <w:spacing w:after="120"/>
        <w:rPr>
          <w:rFonts w:cs="Times New Roman"/>
        </w:rPr>
      </w:pPr>
      <w:r w:rsidRPr="00144121">
        <w:rPr>
          <w:rFonts w:cs="Times New Roman"/>
        </w:rPr>
        <w:t xml:space="preserve">Overall, the weight of evidence from the statistical analyses </w:t>
      </w:r>
      <w:r w:rsidR="009763FD">
        <w:rPr>
          <w:rFonts w:cs="Times New Roman"/>
        </w:rPr>
        <w:t>was</w:t>
      </w:r>
      <w:r w:rsidRPr="00144121">
        <w:rPr>
          <w:rFonts w:cs="Times New Roman"/>
        </w:rPr>
        <w:t xml:space="preserve"> sufficient to conclude that it is likely that TP and DP concentrations decreased during the 20-year record</w:t>
      </w:r>
      <w:r w:rsidR="00ED7E46">
        <w:rPr>
          <w:rFonts w:cs="Times New Roman"/>
        </w:rPr>
        <w:t xml:space="preserve">; however, most </w:t>
      </w:r>
      <w:r w:rsidR="009448DD">
        <w:rPr>
          <w:rFonts w:cs="Times New Roman"/>
        </w:rPr>
        <w:t xml:space="preserve">of this </w:t>
      </w:r>
      <w:r>
        <w:rPr>
          <w:rFonts w:cs="Times New Roman"/>
        </w:rPr>
        <w:t xml:space="preserve">decrease </w:t>
      </w:r>
      <w:r w:rsidR="00ED7E46">
        <w:rPr>
          <w:rFonts w:cs="Times New Roman"/>
        </w:rPr>
        <w:t xml:space="preserve">seemed to primarily </w:t>
      </w:r>
      <w:r>
        <w:rPr>
          <w:rFonts w:cs="Times New Roman"/>
        </w:rPr>
        <w:t>occur during Period 1</w:t>
      </w:r>
      <w:r w:rsidRPr="00144121">
        <w:rPr>
          <w:rFonts w:cs="Times New Roman"/>
        </w:rPr>
        <w:t xml:space="preserve">. </w:t>
      </w:r>
    </w:p>
    <w:p w:rsidR="00D65356" w:rsidRDefault="00D65356" w:rsidP="007A760C">
      <w:pPr>
        <w:spacing w:after="120"/>
        <w:ind w:firstLine="720"/>
        <w:rPr>
          <w:rFonts w:cs="Times New Roman"/>
        </w:rPr>
      </w:pPr>
    </w:p>
    <w:p w:rsidR="00570B96" w:rsidRDefault="009763FD" w:rsidP="007A760C">
      <w:pPr>
        <w:spacing w:after="120"/>
        <w:ind w:firstLine="720"/>
        <w:rPr>
          <w:rFonts w:cs="Times New Roman"/>
        </w:rPr>
      </w:pPr>
      <w:r w:rsidRPr="00144121">
        <w:rPr>
          <w:rFonts w:cs="Times New Roman"/>
        </w:rPr>
        <w:t xml:space="preserve">Four out of the five statistical procedures that were applied </w:t>
      </w:r>
      <w:r>
        <w:rPr>
          <w:rFonts w:cs="Times New Roman"/>
        </w:rPr>
        <w:t xml:space="preserve">by Cibulka et al. (2010) </w:t>
      </w:r>
      <w:r w:rsidRPr="00144121">
        <w:rPr>
          <w:rFonts w:cs="Times New Roman"/>
        </w:rPr>
        <w:t xml:space="preserve">indicated that TP and DP concentrations </w:t>
      </w:r>
      <w:r>
        <w:rPr>
          <w:rFonts w:cs="Times New Roman"/>
        </w:rPr>
        <w:t>d</w:t>
      </w:r>
      <w:r w:rsidRPr="00144121">
        <w:rPr>
          <w:rFonts w:cs="Times New Roman"/>
        </w:rPr>
        <w:t xml:space="preserve">ecreased over the 20-year record, primarily within Period 1 </w:t>
      </w:r>
      <w:r w:rsidR="008B4E25">
        <w:rPr>
          <w:rFonts w:cs="Times New Roman"/>
        </w:rPr>
        <w:t xml:space="preserve">(1989-1995) </w:t>
      </w:r>
      <w:r w:rsidRPr="00144121">
        <w:rPr>
          <w:rFonts w:cs="Times New Roman"/>
        </w:rPr>
        <w:t>of this timeframe.  This conclusion does not mean that phosphorus concentrations decreased solely</w:t>
      </w:r>
      <w:r w:rsidRPr="005A5E42">
        <w:rPr>
          <w:rFonts w:cs="Times New Roman"/>
        </w:rPr>
        <w:t xml:space="preserve"> during Period 1; only that there was insufficient evidence to conclude that a significant decrease in phosphorus concentrations occurred after Period 1</w:t>
      </w:r>
      <w:r w:rsidR="008B34ED" w:rsidRPr="008B34ED">
        <w:rPr>
          <w:rFonts w:cs="Times New Roman"/>
        </w:rPr>
        <w:t xml:space="preserve"> </w:t>
      </w:r>
      <w:r w:rsidR="008B34ED" w:rsidRPr="008B4E25">
        <w:rPr>
          <w:rFonts w:cs="Times New Roman"/>
        </w:rPr>
        <w:t>despite the implementation of numerous BMP’s during more recent years</w:t>
      </w:r>
      <w:r w:rsidRPr="005A5E42">
        <w:rPr>
          <w:rFonts w:cs="Times New Roman"/>
        </w:rPr>
        <w:t>.</w:t>
      </w:r>
      <w:r w:rsidR="00B93F91">
        <w:rPr>
          <w:rFonts w:cs="Times New Roman"/>
        </w:rPr>
        <w:t xml:space="preserve"> </w:t>
      </w:r>
      <w:r w:rsidR="008B4E25" w:rsidRPr="008B4E25">
        <w:t xml:space="preserve"> </w:t>
      </w:r>
      <w:r w:rsidR="00B93F91" w:rsidRPr="008B4E25">
        <w:rPr>
          <w:rFonts w:cs="Times New Roman"/>
        </w:rPr>
        <w:t xml:space="preserve">Some decline </w:t>
      </w:r>
      <w:r w:rsidR="00642F9B">
        <w:rPr>
          <w:rFonts w:cs="Times New Roman"/>
        </w:rPr>
        <w:t xml:space="preserve">in TP concentrations during </w:t>
      </w:r>
      <w:r w:rsidR="00993F66">
        <w:rPr>
          <w:rFonts w:cs="Times New Roman"/>
        </w:rPr>
        <w:t xml:space="preserve">Period 3 </w:t>
      </w:r>
      <w:r w:rsidR="00B93F91" w:rsidRPr="008B4E25">
        <w:rPr>
          <w:rFonts w:cs="Times New Roman"/>
        </w:rPr>
        <w:t xml:space="preserve">seemed to have occurred </w:t>
      </w:r>
      <w:r w:rsidR="00993F66">
        <w:rPr>
          <w:rFonts w:cs="Times New Roman"/>
        </w:rPr>
        <w:t xml:space="preserve">only </w:t>
      </w:r>
      <w:r w:rsidR="00B93F91" w:rsidRPr="008B4E25">
        <w:rPr>
          <w:rFonts w:cs="Times New Roman"/>
        </w:rPr>
        <w:t xml:space="preserve">when </w:t>
      </w:r>
      <w:r w:rsidR="00C62F01">
        <w:rPr>
          <w:rFonts w:cs="Times New Roman"/>
        </w:rPr>
        <w:t xml:space="preserve">all </w:t>
      </w:r>
      <w:r w:rsidR="00B93F91" w:rsidRPr="008B4E25">
        <w:rPr>
          <w:rFonts w:cs="Times New Roman"/>
        </w:rPr>
        <w:t>data from 2008 w</w:t>
      </w:r>
      <w:r w:rsidR="002D200F">
        <w:rPr>
          <w:rFonts w:cs="Times New Roman"/>
        </w:rPr>
        <w:t>ere</w:t>
      </w:r>
      <w:r w:rsidR="00B93F91" w:rsidRPr="008B4E25">
        <w:rPr>
          <w:rFonts w:cs="Times New Roman"/>
        </w:rPr>
        <w:t xml:space="preserve"> included in the analysis</w:t>
      </w:r>
      <w:r w:rsidR="00993F66">
        <w:rPr>
          <w:rFonts w:cs="Times New Roman"/>
        </w:rPr>
        <w:t>.  The results were even more pronounced as TSS concentrations remained fairly level until there was an abrupt decline in 2008</w:t>
      </w:r>
      <w:r w:rsidR="00570B96">
        <w:rPr>
          <w:rFonts w:cs="Times New Roman"/>
        </w:rPr>
        <w:t xml:space="preserve"> (Figure 2)</w:t>
      </w:r>
      <w:r w:rsidR="00993F66">
        <w:rPr>
          <w:rFonts w:cs="Times New Roman"/>
        </w:rPr>
        <w:t>.</w:t>
      </w:r>
      <w:r w:rsidR="00993F66" w:rsidRPr="007027A4">
        <w:rPr>
          <w:rFonts w:cs="Times New Roman"/>
        </w:rPr>
        <w:t xml:space="preserve"> </w:t>
      </w:r>
      <w:r w:rsidR="00993F66">
        <w:rPr>
          <w:rFonts w:cs="Times New Roman"/>
        </w:rPr>
        <w:t xml:space="preserve"> </w:t>
      </w:r>
      <w:r w:rsidR="00931ED8">
        <w:rPr>
          <w:rFonts w:cs="Times New Roman"/>
        </w:rPr>
        <w:t>However, i</w:t>
      </w:r>
      <w:r w:rsidR="00993F66" w:rsidRPr="00CE3E9B">
        <w:rPr>
          <w:rFonts w:cs="Times New Roman"/>
        </w:rPr>
        <w:t xml:space="preserve">t is not likely that this decrease </w:t>
      </w:r>
      <w:r w:rsidR="00570B96">
        <w:rPr>
          <w:rFonts w:cs="Times New Roman"/>
        </w:rPr>
        <w:t>was</w:t>
      </w:r>
      <w:r w:rsidR="00993F66" w:rsidRPr="00CE3E9B">
        <w:rPr>
          <w:rFonts w:cs="Times New Roman"/>
        </w:rPr>
        <w:t xml:space="preserve"> related to recent implementation of BMP’s because the expected effect on a watershed the size of Duck Creek </w:t>
      </w:r>
      <w:r w:rsidR="00993F66">
        <w:rPr>
          <w:rFonts w:cs="Times New Roman"/>
        </w:rPr>
        <w:t xml:space="preserve">should </w:t>
      </w:r>
      <w:r w:rsidR="00993F66" w:rsidRPr="00CE3E9B">
        <w:rPr>
          <w:rFonts w:cs="Times New Roman"/>
        </w:rPr>
        <w:t xml:space="preserve">not be so sudden.  It </w:t>
      </w:r>
      <w:r w:rsidR="00570B96">
        <w:rPr>
          <w:rFonts w:cs="Times New Roman"/>
        </w:rPr>
        <w:t xml:space="preserve">was far </w:t>
      </w:r>
      <w:r w:rsidR="00993F66" w:rsidRPr="00CE3E9B">
        <w:rPr>
          <w:rFonts w:cs="Times New Roman"/>
        </w:rPr>
        <w:t xml:space="preserve">more likely that this apparent decrease </w:t>
      </w:r>
      <w:r w:rsidR="00570B96">
        <w:rPr>
          <w:rFonts w:cs="Times New Roman"/>
        </w:rPr>
        <w:t>was</w:t>
      </w:r>
      <w:r w:rsidR="00993F66" w:rsidRPr="00CE3E9B">
        <w:rPr>
          <w:rFonts w:cs="Times New Roman"/>
        </w:rPr>
        <w:t xml:space="preserve"> related to</w:t>
      </w:r>
      <w:r w:rsidR="00993F66">
        <w:rPr>
          <w:rFonts w:cs="Times New Roman"/>
        </w:rPr>
        <w:t xml:space="preserve"> </w:t>
      </w:r>
      <w:r w:rsidR="00993F66" w:rsidRPr="00CE3E9B">
        <w:rPr>
          <w:rFonts w:cs="Times New Roman"/>
        </w:rPr>
        <w:t>the rain-less large snow melt event in 2008, sampling bias or other factors.</w:t>
      </w:r>
      <w:r w:rsidR="00993F66">
        <w:rPr>
          <w:rFonts w:cs="Times New Roman"/>
        </w:rPr>
        <w:t xml:space="preserve">  </w:t>
      </w:r>
      <w:r w:rsidR="0006228F">
        <w:rPr>
          <w:rFonts w:cs="Times New Roman"/>
        </w:rPr>
        <w:t>Cibulka et al. (2010)</w:t>
      </w:r>
      <w:r w:rsidR="00993F66">
        <w:rPr>
          <w:rFonts w:cs="Times New Roman"/>
        </w:rPr>
        <w:t xml:space="preserve"> therefore conclude</w:t>
      </w:r>
      <w:r w:rsidR="00570B96">
        <w:rPr>
          <w:rFonts w:cs="Times New Roman"/>
        </w:rPr>
        <w:t>d</w:t>
      </w:r>
      <w:r w:rsidR="00993F66">
        <w:rPr>
          <w:rFonts w:cs="Times New Roman"/>
        </w:rPr>
        <w:t xml:space="preserve"> that </w:t>
      </w:r>
      <w:r w:rsidR="0006228F">
        <w:rPr>
          <w:rFonts w:cs="Times New Roman"/>
        </w:rPr>
        <w:t>they</w:t>
      </w:r>
      <w:r w:rsidR="00993F66">
        <w:rPr>
          <w:rFonts w:cs="Times New Roman"/>
        </w:rPr>
        <w:t xml:space="preserve"> were unable to detect a decreasing trend in log transformed TP or DP concentrations in Period 3.  A detailed explanation is provided in Cibulka (2009).</w:t>
      </w:r>
      <w:r w:rsidR="0006228F" w:rsidRPr="0006228F">
        <w:rPr>
          <w:rFonts w:cs="Times New Roman"/>
        </w:rPr>
        <w:t xml:space="preserve"> </w:t>
      </w:r>
      <w:r w:rsidR="0006228F">
        <w:rPr>
          <w:rFonts w:cs="Times New Roman"/>
        </w:rPr>
        <w:t xml:space="preserve"> So the question remains.  Will additional monitoring show that there has </w:t>
      </w:r>
      <w:r w:rsidR="0006228F" w:rsidRPr="008B4E25">
        <w:rPr>
          <w:rFonts w:cs="Times New Roman"/>
        </w:rPr>
        <w:t>the</w:t>
      </w:r>
      <w:r w:rsidR="0006228F">
        <w:rPr>
          <w:rFonts w:cs="Times New Roman"/>
        </w:rPr>
        <w:t xml:space="preserve">re been a </w:t>
      </w:r>
      <w:bookmarkStart w:id="11" w:name="_GoBack"/>
      <w:bookmarkEnd w:id="11"/>
      <w:r w:rsidR="0006228F">
        <w:rPr>
          <w:rFonts w:cs="Times New Roman"/>
        </w:rPr>
        <w:t>reduction in TP and DP</w:t>
      </w:r>
      <w:r w:rsidR="0006228F" w:rsidRPr="008B4E25">
        <w:rPr>
          <w:rFonts w:cs="Times New Roman"/>
        </w:rPr>
        <w:t xml:space="preserve"> </w:t>
      </w:r>
      <w:r w:rsidR="0006228F">
        <w:rPr>
          <w:rFonts w:cs="Times New Roman"/>
        </w:rPr>
        <w:t xml:space="preserve">since 2004? </w:t>
      </w:r>
    </w:p>
    <w:p w:rsidR="00570B96" w:rsidRPr="00A41C74" w:rsidRDefault="00570B96" w:rsidP="00570B96">
      <w:pPr>
        <w:keepNext/>
        <w:spacing w:line="360" w:lineRule="auto"/>
        <w:jc w:val="center"/>
        <w:rPr>
          <w:rFonts w:cs="Times New Roman"/>
        </w:rPr>
      </w:pPr>
      <w:r>
        <w:rPr>
          <w:rFonts w:cs="Times New Roman"/>
          <w:noProof/>
        </w:rPr>
        <w:lastRenderedPageBreak/>
        <w:drawing>
          <wp:inline distT="0" distB="0" distL="0" distR="0">
            <wp:extent cx="5212080" cy="3612110"/>
            <wp:effectExtent l="19050" t="0" r="762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t="13666" r="7853"/>
                    <a:stretch>
                      <a:fillRect/>
                    </a:stretch>
                  </pic:blipFill>
                  <pic:spPr bwMode="auto">
                    <a:xfrm>
                      <a:off x="0" y="0"/>
                      <a:ext cx="5212080" cy="3612110"/>
                    </a:xfrm>
                    <a:prstGeom prst="rect">
                      <a:avLst/>
                    </a:prstGeom>
                    <a:noFill/>
                    <a:ln w="9525">
                      <a:noFill/>
                      <a:miter lim="800000"/>
                      <a:headEnd/>
                      <a:tailEnd/>
                    </a:ln>
                  </pic:spPr>
                </pic:pic>
              </a:graphicData>
            </a:graphic>
          </wp:inline>
        </w:drawing>
      </w:r>
    </w:p>
    <w:p w:rsidR="00570B96" w:rsidRDefault="00570B96" w:rsidP="00570B96">
      <w:pPr>
        <w:spacing w:after="120"/>
        <w:ind w:firstLine="720"/>
      </w:pPr>
      <w:bookmarkStart w:id="12" w:name="_Toc238917644"/>
      <w:r w:rsidRPr="004B68B1">
        <w:t xml:space="preserve">Figure </w:t>
      </w:r>
      <w:r>
        <w:t>2</w:t>
      </w:r>
      <w:r w:rsidRPr="004B68B1">
        <w:t>:  Flow and seasonally-adjusted residuals of log-transformed TSS during Period 3 (water years 2004-2008</w:t>
      </w:r>
      <w:r>
        <w:t xml:space="preserve">; </w:t>
      </w:r>
      <w:r w:rsidR="00E2403A">
        <w:t xml:space="preserve">Figure 3.8 from </w:t>
      </w:r>
      <w:r>
        <w:t>Cibulka 2009</w:t>
      </w:r>
      <w:r w:rsidRPr="004B68B1">
        <w:t>)</w:t>
      </w:r>
    </w:p>
    <w:bookmarkEnd w:id="12"/>
    <w:p w:rsidR="00570B96" w:rsidRDefault="00570B96" w:rsidP="00570B96">
      <w:pPr>
        <w:spacing w:after="120"/>
        <w:ind w:firstLine="720"/>
        <w:rPr>
          <w:rFonts w:cs="Times New Roman"/>
        </w:rPr>
      </w:pPr>
    </w:p>
    <w:p w:rsidR="00570B96" w:rsidRDefault="00570B96" w:rsidP="00570B96">
      <w:pPr>
        <w:spacing w:after="120"/>
        <w:ind w:firstLine="720"/>
        <w:rPr>
          <w:rFonts w:cs="Times New Roman"/>
        </w:rPr>
      </w:pPr>
    </w:p>
    <w:p w:rsidR="001215E5" w:rsidRDefault="001215E5" w:rsidP="001215E5">
      <w:pPr>
        <w:pStyle w:val="Heading2"/>
        <w:rPr>
          <w:b w:val="0"/>
        </w:rPr>
      </w:pPr>
      <w:r w:rsidRPr="00023E45">
        <w:t>Project Objectives</w:t>
      </w:r>
    </w:p>
    <w:p w:rsidR="00570B96" w:rsidRDefault="00B4478A" w:rsidP="007A760C">
      <w:pPr>
        <w:spacing w:after="120"/>
        <w:ind w:firstLine="720"/>
        <w:rPr>
          <w:rFonts w:cs="Times New Roman"/>
          <w:i/>
          <w:u w:val="single"/>
        </w:rPr>
      </w:pPr>
      <w:r w:rsidRPr="008B4E25">
        <w:rPr>
          <w:rFonts w:cs="Times New Roman"/>
        </w:rPr>
        <w:t xml:space="preserve">There is a need to document phosphorus </w:t>
      </w:r>
      <w:r>
        <w:rPr>
          <w:rFonts w:cs="Times New Roman"/>
        </w:rPr>
        <w:t xml:space="preserve">and TSS </w:t>
      </w:r>
      <w:r w:rsidRPr="008B4E25">
        <w:rPr>
          <w:rFonts w:cs="Times New Roman"/>
        </w:rPr>
        <w:t>changes in streams located in the Lower Fox River sub-basin to determine progress in attaining beneficial uses and TMDL targets.</w:t>
      </w:r>
      <w:r>
        <w:rPr>
          <w:rFonts w:cs="Times New Roman"/>
        </w:rPr>
        <w:t xml:space="preserve">  </w:t>
      </w:r>
      <w:r w:rsidR="00B93F91" w:rsidRPr="001215E5">
        <w:rPr>
          <w:rFonts w:cs="Times New Roman"/>
          <w:i/>
          <w:u w:val="single"/>
        </w:rPr>
        <w:t>Therefore, additional data w</w:t>
      </w:r>
      <w:r w:rsidR="002D200F" w:rsidRPr="001215E5">
        <w:rPr>
          <w:rFonts w:cs="Times New Roman"/>
          <w:i/>
          <w:u w:val="single"/>
        </w:rPr>
        <w:t>ere</w:t>
      </w:r>
      <w:r w:rsidR="00B93F91" w:rsidRPr="001215E5">
        <w:rPr>
          <w:rFonts w:cs="Times New Roman"/>
          <w:i/>
          <w:u w:val="single"/>
        </w:rPr>
        <w:t xml:space="preserve"> collected </w:t>
      </w:r>
      <w:r w:rsidR="007E2076">
        <w:rPr>
          <w:rFonts w:cs="Times New Roman"/>
          <w:i/>
          <w:u w:val="single"/>
        </w:rPr>
        <w:t xml:space="preserve">from Duck Creek </w:t>
      </w:r>
      <w:r w:rsidR="00B93F91" w:rsidRPr="001215E5">
        <w:rPr>
          <w:rFonts w:cs="Times New Roman"/>
          <w:i/>
          <w:u w:val="single"/>
        </w:rPr>
        <w:t>through this study to</w:t>
      </w:r>
      <w:r w:rsidR="002D200F" w:rsidRPr="001215E5">
        <w:rPr>
          <w:rFonts w:cs="Times New Roman"/>
          <w:i/>
          <w:u w:val="single"/>
        </w:rPr>
        <w:t>: 1)</w:t>
      </w:r>
      <w:r w:rsidR="00B93F91" w:rsidRPr="001215E5">
        <w:rPr>
          <w:rFonts w:cs="Times New Roman"/>
          <w:i/>
          <w:u w:val="single"/>
        </w:rPr>
        <w:t xml:space="preserve"> assist in documenting whether there has, or has not been a de</w:t>
      </w:r>
      <w:r w:rsidR="001215E5" w:rsidRPr="001215E5">
        <w:rPr>
          <w:rFonts w:cs="Times New Roman"/>
          <w:i/>
          <w:u w:val="single"/>
        </w:rPr>
        <w:t>cline</w:t>
      </w:r>
      <w:r w:rsidR="002D200F" w:rsidRPr="001215E5">
        <w:rPr>
          <w:rFonts w:cs="Times New Roman"/>
          <w:i/>
          <w:u w:val="single"/>
        </w:rPr>
        <w:t xml:space="preserve"> </w:t>
      </w:r>
      <w:r w:rsidR="00B93F91" w:rsidRPr="001215E5">
        <w:rPr>
          <w:rFonts w:cs="Times New Roman"/>
          <w:i/>
          <w:u w:val="single"/>
        </w:rPr>
        <w:t xml:space="preserve">in phosphorus and TSS concentrations </w:t>
      </w:r>
      <w:r w:rsidR="002D200F" w:rsidRPr="001215E5">
        <w:rPr>
          <w:rFonts w:cs="Times New Roman"/>
          <w:i/>
          <w:u w:val="single"/>
        </w:rPr>
        <w:t xml:space="preserve">during </w:t>
      </w:r>
      <w:r w:rsidR="00B93F91" w:rsidRPr="001215E5">
        <w:rPr>
          <w:rFonts w:cs="Times New Roman"/>
          <w:i/>
          <w:u w:val="single"/>
        </w:rPr>
        <w:t>the most recent period (2004-present)</w:t>
      </w:r>
      <w:r w:rsidR="002D200F" w:rsidRPr="001215E5">
        <w:rPr>
          <w:rFonts w:cs="Times New Roman"/>
          <w:i/>
          <w:u w:val="single"/>
        </w:rPr>
        <w:t>;</w:t>
      </w:r>
      <w:r w:rsidR="00B93F91" w:rsidRPr="001215E5">
        <w:rPr>
          <w:rFonts w:cs="Times New Roman"/>
          <w:i/>
          <w:u w:val="single"/>
        </w:rPr>
        <w:t xml:space="preserve"> and </w:t>
      </w:r>
      <w:r w:rsidR="002D200F" w:rsidRPr="001215E5">
        <w:rPr>
          <w:rFonts w:cs="Times New Roman"/>
          <w:i/>
          <w:u w:val="single"/>
        </w:rPr>
        <w:t xml:space="preserve">2) determine </w:t>
      </w:r>
      <w:r w:rsidR="00B93F91" w:rsidRPr="001215E5">
        <w:rPr>
          <w:rFonts w:cs="Times New Roman"/>
          <w:i/>
          <w:u w:val="single"/>
        </w:rPr>
        <w:t xml:space="preserve">whether the </w:t>
      </w:r>
      <w:r w:rsidR="001215E5">
        <w:rPr>
          <w:rFonts w:cs="Times New Roman"/>
          <w:i/>
          <w:u w:val="single"/>
        </w:rPr>
        <w:t xml:space="preserve">total </w:t>
      </w:r>
      <w:r w:rsidR="00B93F91" w:rsidRPr="001215E5">
        <w:rPr>
          <w:rFonts w:cs="Times New Roman"/>
          <w:i/>
          <w:u w:val="single"/>
        </w:rPr>
        <w:t>phosphorus concentrations are at or below the TMDL target</w:t>
      </w:r>
      <w:r w:rsidRPr="001215E5">
        <w:rPr>
          <w:rFonts w:cs="Times New Roman"/>
          <w:i/>
          <w:u w:val="single"/>
        </w:rPr>
        <w:t xml:space="preserve"> of a summer median concentration of 0.075 mg/L</w:t>
      </w:r>
      <w:r w:rsidR="00B93F91" w:rsidRPr="001215E5">
        <w:rPr>
          <w:rFonts w:cs="Times New Roman"/>
          <w:i/>
          <w:u w:val="single"/>
        </w:rPr>
        <w:t>.</w:t>
      </w:r>
    </w:p>
    <w:p w:rsidR="00570B96" w:rsidRDefault="00570B96">
      <w:pPr>
        <w:spacing w:after="200" w:line="276" w:lineRule="auto"/>
        <w:rPr>
          <w:rFonts w:cs="Times New Roman"/>
          <w:i/>
          <w:u w:val="single"/>
        </w:rPr>
      </w:pPr>
      <w:r>
        <w:rPr>
          <w:rFonts w:cs="Times New Roman"/>
          <w:i/>
          <w:u w:val="single"/>
        </w:rPr>
        <w:br w:type="page"/>
      </w:r>
    </w:p>
    <w:p w:rsidR="00846D32" w:rsidRDefault="00846D32" w:rsidP="00846D32">
      <w:pPr>
        <w:pStyle w:val="Heading1"/>
      </w:pPr>
      <w:r w:rsidRPr="00023E45">
        <w:lastRenderedPageBreak/>
        <w:t xml:space="preserve">- </w:t>
      </w:r>
      <w:r>
        <w:t>METHODS</w:t>
      </w:r>
    </w:p>
    <w:p w:rsidR="001B3B3F" w:rsidRDefault="00113489" w:rsidP="001B3B3F">
      <w:pPr>
        <w:pStyle w:val="Heading2"/>
      </w:pPr>
      <w:r>
        <w:t xml:space="preserve">Water </w:t>
      </w:r>
      <w:r w:rsidR="00846D32">
        <w:t xml:space="preserve">Sampling and </w:t>
      </w:r>
      <w:r>
        <w:t>F</w:t>
      </w:r>
      <w:r w:rsidR="00846D32">
        <w:t>low</w:t>
      </w:r>
      <w:r>
        <w:t xml:space="preserve"> Measurements</w:t>
      </w:r>
    </w:p>
    <w:p w:rsidR="00035123" w:rsidRDefault="001B3B3F" w:rsidP="00DD523D">
      <w:pPr>
        <w:spacing w:after="200"/>
        <w:ind w:firstLine="720"/>
        <w:rPr>
          <w:rFonts w:cs="Times New Roman"/>
        </w:rPr>
      </w:pPr>
      <w:r w:rsidRPr="001B3B3F">
        <w:rPr>
          <w:rFonts w:cs="Times New Roman"/>
        </w:rPr>
        <w:t xml:space="preserve">Stream water samples were collected by UW-Green Bay students </w:t>
      </w:r>
      <w:r w:rsidR="004A104E">
        <w:rPr>
          <w:rFonts w:cs="Times New Roman"/>
        </w:rPr>
        <w:t xml:space="preserve">or staff </w:t>
      </w:r>
      <w:r w:rsidRPr="001B3B3F">
        <w:rPr>
          <w:rFonts w:cs="Times New Roman"/>
        </w:rPr>
        <w:t xml:space="preserve">at the </w:t>
      </w:r>
      <w:r>
        <w:rPr>
          <w:rFonts w:cs="Times New Roman"/>
        </w:rPr>
        <w:t xml:space="preserve">USGS </w:t>
      </w:r>
      <w:r w:rsidRPr="001B3B3F">
        <w:rPr>
          <w:rFonts w:cs="Times New Roman"/>
        </w:rPr>
        <w:t xml:space="preserve">Duck Creek station once/week to </w:t>
      </w:r>
      <w:r w:rsidR="00ED7E46">
        <w:rPr>
          <w:rFonts w:cs="Times New Roman"/>
        </w:rPr>
        <w:t>monthly from August 2011 through August 2013</w:t>
      </w:r>
      <w:r w:rsidR="00525F14">
        <w:rPr>
          <w:rFonts w:cs="Times New Roman"/>
        </w:rPr>
        <w:t>.  T</w:t>
      </w:r>
      <w:r w:rsidR="00525F14" w:rsidRPr="00C61954">
        <w:rPr>
          <w:rFonts w:cs="Times New Roman"/>
        </w:rPr>
        <w:t>hree supplemental samples collected 7/16/2010, 4/27/2011 and 6/23/2011 through another project were included in th</w:t>
      </w:r>
      <w:r w:rsidR="00525F14">
        <w:rPr>
          <w:rFonts w:cs="Times New Roman"/>
        </w:rPr>
        <w:t>is</w:t>
      </w:r>
      <w:r w:rsidR="00525F14" w:rsidRPr="00C61954">
        <w:rPr>
          <w:rFonts w:cs="Times New Roman"/>
        </w:rPr>
        <w:t xml:space="preserve"> Period 4 dataset for a total of 48 samples</w:t>
      </w:r>
      <w:r w:rsidR="00525F14">
        <w:rPr>
          <w:rFonts w:cs="Times New Roman"/>
        </w:rPr>
        <w:t xml:space="preserve"> </w:t>
      </w:r>
      <w:r w:rsidR="00525F14" w:rsidRPr="00CE3E9B">
        <w:rPr>
          <w:rFonts w:cs="Times New Roman"/>
        </w:rPr>
        <w:t>(</w:t>
      </w:r>
      <w:r w:rsidR="00525F14">
        <w:rPr>
          <w:rFonts w:cs="Times New Roman"/>
        </w:rPr>
        <w:t xml:space="preserve">USGS WY </w:t>
      </w:r>
      <w:r w:rsidR="00525F14" w:rsidRPr="00CE3E9B">
        <w:rPr>
          <w:rFonts w:cs="Times New Roman"/>
        </w:rPr>
        <w:t>20</w:t>
      </w:r>
      <w:r w:rsidR="00525F14">
        <w:rPr>
          <w:rFonts w:cs="Times New Roman"/>
        </w:rPr>
        <w:t>10</w:t>
      </w:r>
      <w:r w:rsidR="00525F14" w:rsidRPr="00CE3E9B">
        <w:rPr>
          <w:rFonts w:cs="Times New Roman"/>
        </w:rPr>
        <w:t>-</w:t>
      </w:r>
      <w:r w:rsidR="00525F14" w:rsidRPr="00C61954">
        <w:rPr>
          <w:rFonts w:cs="Times New Roman"/>
        </w:rPr>
        <w:t>20</w:t>
      </w:r>
      <w:r w:rsidR="00525F14">
        <w:rPr>
          <w:rFonts w:cs="Times New Roman"/>
        </w:rPr>
        <w:t>13</w:t>
      </w:r>
      <w:r w:rsidR="00525F14" w:rsidRPr="00C61954">
        <w:rPr>
          <w:rFonts w:cs="Times New Roman"/>
        </w:rPr>
        <w:t>).</w:t>
      </w:r>
      <w:r w:rsidR="00525F14">
        <w:rPr>
          <w:rFonts w:cs="Times New Roman"/>
        </w:rPr>
        <w:t xml:space="preserve">  T</w:t>
      </w:r>
      <w:r w:rsidR="00764CFE" w:rsidRPr="001B3B3F">
        <w:rPr>
          <w:rFonts w:cs="Times New Roman"/>
        </w:rPr>
        <w:t>h</w:t>
      </w:r>
      <w:r w:rsidR="00525F14">
        <w:rPr>
          <w:rFonts w:cs="Times New Roman"/>
        </w:rPr>
        <w:t xml:space="preserve">e Duck Creek </w:t>
      </w:r>
      <w:r w:rsidR="00764CFE" w:rsidRPr="001B3B3F">
        <w:rPr>
          <w:rFonts w:cs="Times New Roman"/>
        </w:rPr>
        <w:t xml:space="preserve">station is located along CTH FF in the Village of Howard, Wisconsin (USGS # 04072150; Lat 44°32'01", long 88°07'46"). </w:t>
      </w:r>
      <w:r w:rsidR="00764CFE">
        <w:rPr>
          <w:rFonts w:cs="Times New Roman"/>
        </w:rPr>
        <w:t xml:space="preserve"> </w:t>
      </w:r>
      <w:r w:rsidRPr="001B3B3F">
        <w:rPr>
          <w:rFonts w:cs="Times New Roman"/>
        </w:rPr>
        <w:t xml:space="preserve">Sampling frequency was increased during the spring runoff period, and decreased at other times.  </w:t>
      </w:r>
      <w:r w:rsidR="00525F14">
        <w:rPr>
          <w:rFonts w:cs="Times New Roman"/>
        </w:rPr>
        <w:t>S</w:t>
      </w:r>
      <w:r w:rsidR="00764CFE" w:rsidRPr="001B3B3F">
        <w:rPr>
          <w:rFonts w:cs="Times New Roman"/>
        </w:rPr>
        <w:t xml:space="preserve">amples were collected using an equal width increment/equal transit rate (EWI) method (Edwards and Glysson, 1988; Ward and Harr, 1990). </w:t>
      </w:r>
      <w:r w:rsidR="00764CFE">
        <w:rPr>
          <w:rFonts w:cs="Times New Roman"/>
        </w:rPr>
        <w:t xml:space="preserve"> </w:t>
      </w:r>
      <w:r w:rsidR="00764CFE" w:rsidRPr="001B3B3F">
        <w:rPr>
          <w:rFonts w:cs="Times New Roman"/>
        </w:rPr>
        <w:t xml:space="preserve">In this method, an isokinetic sampling device (a sampler that allows water to enter without changing its velocity relative to the stream) is lowered and raised at a uniform transit rate through equally-spaced verticals in the stream cross-section.  Samples were collected by wading with a hand-held sampler or from </w:t>
      </w:r>
      <w:r w:rsidR="00764CFE">
        <w:rPr>
          <w:rFonts w:cs="Times New Roman"/>
        </w:rPr>
        <w:t xml:space="preserve">the CTH FF </w:t>
      </w:r>
      <w:r w:rsidR="00764CFE" w:rsidRPr="001B3B3F">
        <w:rPr>
          <w:rFonts w:cs="Times New Roman"/>
        </w:rPr>
        <w:t>brid</w:t>
      </w:r>
      <w:r w:rsidR="00A9576F">
        <w:rPr>
          <w:rFonts w:cs="Times New Roman"/>
        </w:rPr>
        <w:t>g</w:t>
      </w:r>
      <w:r w:rsidR="00764CFE" w:rsidRPr="001B3B3F">
        <w:rPr>
          <w:rFonts w:cs="Times New Roman"/>
        </w:rPr>
        <w:t xml:space="preserve">e using a weighted sampler, depending on flow conditions.  Multiple EWI samples were collected and composited into a 1000 mL plastic bottle, until there </w:t>
      </w:r>
      <w:r w:rsidR="00764CFE">
        <w:rPr>
          <w:rFonts w:cs="Times New Roman"/>
        </w:rPr>
        <w:t>was</w:t>
      </w:r>
      <w:r w:rsidR="00764CFE" w:rsidRPr="001B3B3F">
        <w:rPr>
          <w:rFonts w:cs="Times New Roman"/>
        </w:rPr>
        <w:t xml:space="preserve"> sufficient volume for analysis of all thre</w:t>
      </w:r>
      <w:r w:rsidR="00035123">
        <w:rPr>
          <w:rFonts w:cs="Times New Roman"/>
        </w:rPr>
        <w:t xml:space="preserve">e parameters (750 to 1000 mL).  </w:t>
      </w:r>
      <w:r w:rsidRPr="001B3B3F">
        <w:rPr>
          <w:rFonts w:cs="Times New Roman"/>
        </w:rPr>
        <w:t xml:space="preserve">Samples were </w:t>
      </w:r>
      <w:r w:rsidR="00035123">
        <w:rPr>
          <w:rFonts w:cs="Times New Roman"/>
        </w:rPr>
        <w:t xml:space="preserve">placed in a cooler on ice, and then </w:t>
      </w:r>
      <w:r w:rsidRPr="001B3B3F">
        <w:rPr>
          <w:rFonts w:cs="Times New Roman"/>
        </w:rPr>
        <w:t xml:space="preserve">processed </w:t>
      </w:r>
      <w:r w:rsidR="00035123">
        <w:rPr>
          <w:rFonts w:cs="Times New Roman"/>
        </w:rPr>
        <w:t>at</w:t>
      </w:r>
      <w:r w:rsidRPr="001B3B3F">
        <w:rPr>
          <w:rFonts w:cs="Times New Roman"/>
        </w:rPr>
        <w:t xml:space="preserve"> UW-Green Bay</w:t>
      </w:r>
      <w:r w:rsidR="00035123">
        <w:rPr>
          <w:rFonts w:cs="Times New Roman"/>
        </w:rPr>
        <w:t xml:space="preserve">.  </w:t>
      </w:r>
      <w:r w:rsidR="00035123" w:rsidRPr="001B3B3F">
        <w:rPr>
          <w:rFonts w:cs="Times New Roman"/>
        </w:rPr>
        <w:t xml:space="preserve">A cone splitter was used to split the composited sample into three plastic bottles for TSS (500 mL), total phosphorus (250 mL) and dissolved </w:t>
      </w:r>
      <w:r w:rsidR="00035123">
        <w:rPr>
          <w:rFonts w:cs="Times New Roman"/>
        </w:rPr>
        <w:t xml:space="preserve">total </w:t>
      </w:r>
      <w:r w:rsidR="00035123" w:rsidRPr="001B3B3F">
        <w:rPr>
          <w:rFonts w:cs="Times New Roman"/>
        </w:rPr>
        <w:t xml:space="preserve">phosphorus (250 mL).  </w:t>
      </w:r>
      <w:r w:rsidR="00875E5A" w:rsidRPr="00875E5A">
        <w:rPr>
          <w:rFonts w:cs="Times New Roman"/>
        </w:rPr>
        <w:t>Samples for DP analysis were filtered through a 0.45 µm membrane filter to remove particulate matter.  Both TP and DP samples were preserved with diluted sulfuric acid (3:1 concentration)</w:t>
      </w:r>
      <w:r w:rsidR="00875E5A">
        <w:rPr>
          <w:rFonts w:cs="Times New Roman"/>
        </w:rPr>
        <w:t>.</w:t>
      </w:r>
      <w:r w:rsidR="00875E5A" w:rsidRPr="00875E5A">
        <w:rPr>
          <w:rFonts w:cs="Times New Roman"/>
        </w:rPr>
        <w:t xml:space="preserve"> </w:t>
      </w:r>
      <w:r w:rsidR="00875E5A">
        <w:rPr>
          <w:rFonts w:cs="Times New Roman"/>
        </w:rPr>
        <w:t xml:space="preserve"> </w:t>
      </w:r>
      <w:r w:rsidR="00035123">
        <w:rPr>
          <w:rFonts w:cs="Times New Roman"/>
        </w:rPr>
        <w:t>The split sample bottles were labeled accordingly</w:t>
      </w:r>
      <w:r w:rsidR="00875E5A">
        <w:rPr>
          <w:rFonts w:cs="Times New Roman"/>
        </w:rPr>
        <w:t>, r</w:t>
      </w:r>
      <w:r w:rsidR="00B164FA">
        <w:rPr>
          <w:rFonts w:cs="Times New Roman"/>
        </w:rPr>
        <w:t xml:space="preserve">efrigerated, and then </w:t>
      </w:r>
      <w:r w:rsidR="00035123">
        <w:rPr>
          <w:rFonts w:cs="Times New Roman"/>
        </w:rPr>
        <w:t xml:space="preserve">placed in a cooler on ice and </w:t>
      </w:r>
      <w:r w:rsidRPr="001B3B3F">
        <w:rPr>
          <w:rFonts w:cs="Times New Roman"/>
        </w:rPr>
        <w:t xml:space="preserve">delivered to the certified GBMSD lab for analysis of total and dissolved phosphorus and TSS.  </w:t>
      </w:r>
      <w:r w:rsidR="00035123">
        <w:rPr>
          <w:rFonts w:cs="Times New Roman"/>
        </w:rPr>
        <w:t>Samples were identified both by time/date, and an ID, with a prefix of 053690</w:t>
      </w:r>
      <w:r w:rsidR="00770258">
        <w:rPr>
          <w:rFonts w:cs="Times New Roman"/>
        </w:rPr>
        <w:t xml:space="preserve"> (WDNR Station ID)</w:t>
      </w:r>
      <w:r w:rsidR="00035123">
        <w:rPr>
          <w:rFonts w:cs="Times New Roman"/>
        </w:rPr>
        <w:t xml:space="preserve">, followed by </w:t>
      </w:r>
      <w:r w:rsidR="00241D88">
        <w:rPr>
          <w:rFonts w:cs="Times New Roman"/>
        </w:rPr>
        <w:t xml:space="preserve">a </w:t>
      </w:r>
      <w:r w:rsidR="00B73CD1">
        <w:rPr>
          <w:rFonts w:cs="Times New Roman"/>
        </w:rPr>
        <w:t>sequential series</w:t>
      </w:r>
      <w:r w:rsidR="00241D88">
        <w:rPr>
          <w:rFonts w:cs="Times New Roman"/>
        </w:rPr>
        <w:t xml:space="preserve">, so the first sample was labeled as </w:t>
      </w:r>
      <w:r w:rsidR="00B73CD1">
        <w:rPr>
          <w:rFonts w:cs="Times New Roman"/>
        </w:rPr>
        <w:t>ID 053690-</w:t>
      </w:r>
      <w:r w:rsidR="00241D88">
        <w:rPr>
          <w:rFonts w:cs="Times New Roman"/>
        </w:rPr>
        <w:t>DU-</w:t>
      </w:r>
      <w:r w:rsidR="00B73CD1">
        <w:rPr>
          <w:rFonts w:cs="Times New Roman"/>
        </w:rPr>
        <w:t>20</w:t>
      </w:r>
      <w:r w:rsidR="00241D88">
        <w:rPr>
          <w:rFonts w:cs="Times New Roman"/>
        </w:rPr>
        <w:t>1 (“DU” for Duck Creek)</w:t>
      </w:r>
      <w:r w:rsidR="00B73CD1">
        <w:rPr>
          <w:rFonts w:cs="Times New Roman"/>
        </w:rPr>
        <w:t>.</w:t>
      </w:r>
      <w:r w:rsidR="00875E5A" w:rsidRPr="00875E5A">
        <w:rPr>
          <w:rFonts w:cs="Times New Roman"/>
        </w:rPr>
        <w:t xml:space="preserve"> </w:t>
      </w:r>
      <w:r w:rsidR="00600061">
        <w:rPr>
          <w:rFonts w:cs="Times New Roman"/>
        </w:rPr>
        <w:t xml:space="preserve"> </w:t>
      </w:r>
      <w:r w:rsidR="00875E5A" w:rsidRPr="00875E5A">
        <w:rPr>
          <w:rFonts w:cs="Times New Roman"/>
        </w:rPr>
        <w:t xml:space="preserve">Total phosphorus and DP analyses </w:t>
      </w:r>
      <w:r w:rsidR="00600061">
        <w:rPr>
          <w:rFonts w:cs="Times New Roman"/>
        </w:rPr>
        <w:t xml:space="preserve">by the GBMSD </w:t>
      </w:r>
      <w:r w:rsidR="00875E5A" w:rsidRPr="00875E5A">
        <w:rPr>
          <w:rFonts w:cs="Times New Roman"/>
        </w:rPr>
        <w:t>followed USEPA’s Automated Block Digester Method 365.4 (USEPA 1983).  Total Suspended Solids samples were also analyzed at the GBMSD using Standard Method 240 D (Clesceri et al., 1988).</w:t>
      </w:r>
    </w:p>
    <w:p w:rsidR="005E10C5" w:rsidRDefault="00770258" w:rsidP="005E10C5">
      <w:pPr>
        <w:spacing w:after="200" w:line="276" w:lineRule="auto"/>
        <w:ind w:firstLine="720"/>
        <w:rPr>
          <w:rFonts w:cs="Times New Roman"/>
        </w:rPr>
      </w:pPr>
      <w:r>
        <w:rPr>
          <w:rFonts w:cs="Times New Roman"/>
        </w:rPr>
        <w:t>Sample concentration d</w:t>
      </w:r>
      <w:r w:rsidRPr="00770258">
        <w:rPr>
          <w:rFonts w:cs="Times New Roman"/>
        </w:rPr>
        <w:t xml:space="preserve">ata </w:t>
      </w:r>
      <w:r w:rsidR="00CF78DF">
        <w:rPr>
          <w:rFonts w:cs="Times New Roman"/>
        </w:rPr>
        <w:t xml:space="preserve">and metadata </w:t>
      </w:r>
      <w:r>
        <w:rPr>
          <w:rFonts w:cs="Times New Roman"/>
        </w:rPr>
        <w:t xml:space="preserve">were </w:t>
      </w:r>
      <w:r w:rsidRPr="00770258">
        <w:rPr>
          <w:rFonts w:cs="Times New Roman"/>
        </w:rPr>
        <w:t xml:space="preserve">submitted to </w:t>
      </w:r>
      <w:r>
        <w:rPr>
          <w:rFonts w:cs="Times New Roman"/>
        </w:rPr>
        <w:t xml:space="preserve">the </w:t>
      </w:r>
      <w:r w:rsidRPr="00770258">
        <w:rPr>
          <w:rFonts w:cs="Times New Roman"/>
        </w:rPr>
        <w:t xml:space="preserve">WDNR </w:t>
      </w:r>
      <w:r>
        <w:rPr>
          <w:rFonts w:cs="Times New Roman"/>
        </w:rPr>
        <w:t>so the</w:t>
      </w:r>
      <w:r w:rsidR="001253CD">
        <w:rPr>
          <w:rFonts w:cs="Times New Roman"/>
        </w:rPr>
        <w:t xml:space="preserve"> data</w:t>
      </w:r>
      <w:r>
        <w:rPr>
          <w:rFonts w:cs="Times New Roman"/>
        </w:rPr>
        <w:t xml:space="preserve"> could be placed in the </w:t>
      </w:r>
      <w:r w:rsidR="00CF78DF" w:rsidRPr="00CF78DF">
        <w:rPr>
          <w:rFonts w:cs="Times New Roman"/>
        </w:rPr>
        <w:t>Surface Water Integrated Monitoring System (SWIMS)</w:t>
      </w:r>
      <w:r>
        <w:rPr>
          <w:rFonts w:cs="Times New Roman"/>
        </w:rPr>
        <w:t xml:space="preserve"> database.</w:t>
      </w:r>
      <w:r w:rsidR="00CF78DF">
        <w:rPr>
          <w:rFonts w:cs="Times New Roman"/>
        </w:rPr>
        <w:t xml:space="preserve">  </w:t>
      </w:r>
      <w:r w:rsidR="0001535D">
        <w:rPr>
          <w:rFonts w:cs="Times New Roman"/>
        </w:rPr>
        <w:t xml:space="preserve">The analytical results from the GBMSD lab are also summarized in the Appendix at the end of this report.  </w:t>
      </w:r>
      <w:r w:rsidR="005E10C5">
        <w:rPr>
          <w:rFonts w:cs="Times New Roman"/>
        </w:rPr>
        <w:t>W</w:t>
      </w:r>
      <w:r w:rsidR="00CF78DF">
        <w:rPr>
          <w:rFonts w:cs="Times New Roman"/>
        </w:rPr>
        <w:t xml:space="preserve">e </w:t>
      </w:r>
      <w:r w:rsidR="005E10C5">
        <w:rPr>
          <w:rFonts w:cs="Times New Roman"/>
        </w:rPr>
        <w:t xml:space="preserve">plan to </w:t>
      </w:r>
      <w:r w:rsidR="00CF78DF">
        <w:rPr>
          <w:rFonts w:cs="Times New Roman"/>
        </w:rPr>
        <w:t xml:space="preserve">submit the data to the USGS so it can also be accessed via the </w:t>
      </w:r>
      <w:r w:rsidRPr="00770258">
        <w:rPr>
          <w:rFonts w:cs="Times New Roman"/>
        </w:rPr>
        <w:t>internet on the USGS web page for Duck Creek</w:t>
      </w:r>
      <w:r w:rsidR="00CF78DF">
        <w:rPr>
          <w:rFonts w:cs="Times New Roman"/>
        </w:rPr>
        <w:t xml:space="preserve"> </w:t>
      </w:r>
      <w:r w:rsidR="005E10C5">
        <w:rPr>
          <w:rFonts w:cs="Times New Roman"/>
        </w:rPr>
        <w:t>(</w:t>
      </w:r>
      <w:r w:rsidRPr="00770258">
        <w:rPr>
          <w:rFonts w:cs="Times New Roman"/>
        </w:rPr>
        <w:t xml:space="preserve">http://waterdata.usgs.gov/wi/nwis/uv?04072150). </w:t>
      </w:r>
      <w:r w:rsidR="005E10C5">
        <w:rPr>
          <w:rFonts w:cs="Times New Roman"/>
        </w:rPr>
        <w:t xml:space="preserve"> </w:t>
      </w:r>
    </w:p>
    <w:p w:rsidR="001215E5" w:rsidRDefault="001B3B3F" w:rsidP="005E10C5">
      <w:pPr>
        <w:spacing w:after="200" w:line="276" w:lineRule="auto"/>
        <w:ind w:firstLine="720"/>
        <w:rPr>
          <w:rFonts w:cs="Times New Roman"/>
          <w:b/>
        </w:rPr>
      </w:pPr>
      <w:r w:rsidRPr="001B3B3F">
        <w:rPr>
          <w:rFonts w:cs="Times New Roman"/>
        </w:rPr>
        <w:t xml:space="preserve">Continuous discharge data </w:t>
      </w:r>
      <w:r w:rsidR="00EB4C58">
        <w:rPr>
          <w:rFonts w:cs="Times New Roman"/>
        </w:rPr>
        <w:t xml:space="preserve">from </w:t>
      </w:r>
      <w:r w:rsidRPr="001B3B3F">
        <w:rPr>
          <w:rFonts w:cs="Times New Roman"/>
        </w:rPr>
        <w:t>the Duck Creek monitoring station were obtained from the USGS web site</w:t>
      </w:r>
      <w:r w:rsidR="00EB4C58">
        <w:rPr>
          <w:rFonts w:cs="Times New Roman"/>
        </w:rPr>
        <w:t>.  H</w:t>
      </w:r>
      <w:r w:rsidRPr="001B3B3F">
        <w:rPr>
          <w:rFonts w:cs="Times New Roman"/>
        </w:rPr>
        <w:t xml:space="preserve">owever, </w:t>
      </w:r>
      <w:r w:rsidR="00525F14">
        <w:rPr>
          <w:rFonts w:cs="Times New Roman"/>
        </w:rPr>
        <w:t xml:space="preserve">some of </w:t>
      </w:r>
      <w:r w:rsidR="00EB4C58">
        <w:rPr>
          <w:rFonts w:cs="Times New Roman"/>
        </w:rPr>
        <w:t>the discharge data w</w:t>
      </w:r>
      <w:r w:rsidR="00DD523D">
        <w:rPr>
          <w:rFonts w:cs="Times New Roman"/>
        </w:rPr>
        <w:t>ere</w:t>
      </w:r>
      <w:r w:rsidR="00EB4C58">
        <w:rPr>
          <w:rFonts w:cs="Times New Roman"/>
        </w:rPr>
        <w:t xml:space="preserve"> </w:t>
      </w:r>
      <w:r>
        <w:rPr>
          <w:rFonts w:cs="Times New Roman"/>
        </w:rPr>
        <w:t xml:space="preserve">provisional </w:t>
      </w:r>
      <w:r w:rsidR="00EB4C58" w:rsidRPr="001B3B3F">
        <w:rPr>
          <w:rFonts w:cs="Times New Roman"/>
        </w:rPr>
        <w:t xml:space="preserve">because </w:t>
      </w:r>
      <w:r w:rsidR="00EB4C58">
        <w:rPr>
          <w:rFonts w:cs="Times New Roman"/>
        </w:rPr>
        <w:t>flows</w:t>
      </w:r>
      <w:r w:rsidR="00EB4C58" w:rsidRPr="001B3B3F">
        <w:rPr>
          <w:rFonts w:cs="Times New Roman"/>
        </w:rPr>
        <w:t xml:space="preserve"> </w:t>
      </w:r>
      <w:r w:rsidR="00EB4C58">
        <w:rPr>
          <w:rFonts w:cs="Times New Roman"/>
        </w:rPr>
        <w:t xml:space="preserve">from </w:t>
      </w:r>
      <w:r w:rsidR="00525F14">
        <w:rPr>
          <w:rFonts w:cs="Times New Roman"/>
        </w:rPr>
        <w:t xml:space="preserve">WY </w:t>
      </w:r>
      <w:r w:rsidR="00EB4C58" w:rsidRPr="001B3B3F">
        <w:rPr>
          <w:rFonts w:cs="Times New Roman"/>
        </w:rPr>
        <w:t>201</w:t>
      </w:r>
      <w:r w:rsidR="00ED7E46">
        <w:rPr>
          <w:rFonts w:cs="Times New Roman"/>
        </w:rPr>
        <w:t>3</w:t>
      </w:r>
      <w:r w:rsidR="00EB4C58" w:rsidRPr="001B3B3F">
        <w:rPr>
          <w:rFonts w:cs="Times New Roman"/>
        </w:rPr>
        <w:t xml:space="preserve"> had not </w:t>
      </w:r>
      <w:r w:rsidR="00EB4C58">
        <w:rPr>
          <w:rFonts w:cs="Times New Roman"/>
        </w:rPr>
        <w:t xml:space="preserve">yet </w:t>
      </w:r>
      <w:r w:rsidR="00EB4C58" w:rsidRPr="001B3B3F">
        <w:rPr>
          <w:rFonts w:cs="Times New Roman"/>
        </w:rPr>
        <w:t xml:space="preserve">been certified </w:t>
      </w:r>
      <w:r w:rsidR="00EB4C58">
        <w:rPr>
          <w:rFonts w:cs="Times New Roman"/>
        </w:rPr>
        <w:t>when this report was submitted (</w:t>
      </w:r>
      <w:r w:rsidR="00ED7E46">
        <w:rPr>
          <w:rFonts w:cs="Times New Roman"/>
        </w:rPr>
        <w:t>12</w:t>
      </w:r>
      <w:r w:rsidR="00EB4C58">
        <w:rPr>
          <w:rFonts w:cs="Times New Roman"/>
        </w:rPr>
        <w:t>/</w:t>
      </w:r>
      <w:r w:rsidR="00ED7E46">
        <w:rPr>
          <w:rFonts w:cs="Times New Roman"/>
        </w:rPr>
        <w:t>2</w:t>
      </w:r>
      <w:r w:rsidR="00EB4C58">
        <w:rPr>
          <w:rFonts w:cs="Times New Roman"/>
        </w:rPr>
        <w:t>0/1</w:t>
      </w:r>
      <w:r w:rsidR="00ED7E46">
        <w:rPr>
          <w:rFonts w:cs="Times New Roman"/>
        </w:rPr>
        <w:t>3</w:t>
      </w:r>
      <w:r w:rsidR="00EB4C58">
        <w:rPr>
          <w:rFonts w:cs="Times New Roman"/>
        </w:rPr>
        <w:t>)</w:t>
      </w:r>
      <w:r w:rsidR="00EB4C58" w:rsidRPr="001B3B3F">
        <w:rPr>
          <w:rFonts w:cs="Times New Roman"/>
        </w:rPr>
        <w:t>.</w:t>
      </w:r>
      <w:r w:rsidRPr="001B3B3F">
        <w:rPr>
          <w:rFonts w:cs="Times New Roman"/>
        </w:rPr>
        <w:t xml:space="preserve">  </w:t>
      </w:r>
      <w:r w:rsidR="00EB4C58">
        <w:rPr>
          <w:rFonts w:cs="Times New Roman"/>
        </w:rPr>
        <w:t>Instantaneous discharge</w:t>
      </w:r>
      <w:r w:rsidRPr="001B3B3F">
        <w:rPr>
          <w:rFonts w:cs="Times New Roman"/>
        </w:rPr>
        <w:t xml:space="preserve"> data w</w:t>
      </w:r>
      <w:r w:rsidR="00551F57">
        <w:rPr>
          <w:rFonts w:cs="Times New Roman"/>
        </w:rPr>
        <w:t>ere</w:t>
      </w:r>
      <w:r w:rsidRPr="001B3B3F">
        <w:rPr>
          <w:rFonts w:cs="Times New Roman"/>
        </w:rPr>
        <w:t xml:space="preserve"> combined with the phosphorus and TSS data and analyzed using the statistical techniques employed by Cibulka et al. (20</w:t>
      </w:r>
      <w:r w:rsidR="00551F57">
        <w:rPr>
          <w:rFonts w:cs="Times New Roman"/>
        </w:rPr>
        <w:t>1</w:t>
      </w:r>
      <w:r w:rsidRPr="001B3B3F">
        <w:rPr>
          <w:rFonts w:cs="Times New Roman"/>
        </w:rPr>
        <w:t xml:space="preserve">0) to determine whether there was a </w:t>
      </w:r>
      <w:r w:rsidR="00600061">
        <w:rPr>
          <w:rFonts w:cs="Times New Roman"/>
        </w:rPr>
        <w:t xml:space="preserve">change or </w:t>
      </w:r>
      <w:r w:rsidRPr="001B3B3F">
        <w:rPr>
          <w:rFonts w:cs="Times New Roman"/>
        </w:rPr>
        <w:t>trend in the phosphorus or TSS concentrations during the most recent monitoring period (2004-present).</w:t>
      </w:r>
      <w:r w:rsidR="00CF7172">
        <w:rPr>
          <w:rFonts w:cs="Times New Roman"/>
        </w:rPr>
        <w:t xml:space="preserve">  Sample time and date were used to pair the sample concentrations with matching instantaneous flow measured at the same time and date as the sample was collected.  </w:t>
      </w:r>
      <w:r w:rsidR="001215E5">
        <w:rPr>
          <w:rFonts w:cs="Times New Roman"/>
          <w:b/>
        </w:rPr>
        <w:br w:type="page"/>
      </w:r>
    </w:p>
    <w:p w:rsidR="001215E5" w:rsidRPr="001215E5" w:rsidRDefault="003F3EAE" w:rsidP="001B3B3F">
      <w:pPr>
        <w:spacing w:after="200" w:line="276" w:lineRule="auto"/>
        <w:rPr>
          <w:rFonts w:cs="Times New Roman"/>
          <w:b/>
        </w:rPr>
      </w:pPr>
      <w:r w:rsidRPr="001215E5">
        <w:rPr>
          <w:rFonts w:cs="Times New Roman"/>
          <w:b/>
        </w:rPr>
        <w:lastRenderedPageBreak/>
        <w:t xml:space="preserve">Statistical Analysis </w:t>
      </w:r>
    </w:p>
    <w:p w:rsidR="003A09B2" w:rsidRDefault="001B3B3F" w:rsidP="00DD523D">
      <w:pPr>
        <w:spacing w:after="200"/>
        <w:ind w:firstLine="720"/>
        <w:rPr>
          <w:rFonts w:cs="Times New Roman"/>
        </w:rPr>
      </w:pPr>
      <w:r>
        <w:rPr>
          <w:rFonts w:cs="Times New Roman"/>
        </w:rPr>
        <w:t>T</w:t>
      </w:r>
      <w:r w:rsidRPr="00CE3E9B">
        <w:rPr>
          <w:rFonts w:cs="Times New Roman"/>
        </w:rPr>
        <w:t>he Statistical Analysis Software package (SAS version 9.</w:t>
      </w:r>
      <w:r>
        <w:rPr>
          <w:rFonts w:cs="Times New Roman"/>
        </w:rPr>
        <w:t>2</w:t>
      </w:r>
      <w:r w:rsidRPr="00CE3E9B">
        <w:rPr>
          <w:rFonts w:cs="Times New Roman"/>
        </w:rPr>
        <w:t xml:space="preserve"> © 2002-2003)</w:t>
      </w:r>
      <w:r>
        <w:rPr>
          <w:rFonts w:cs="Times New Roman"/>
        </w:rPr>
        <w:t xml:space="preserve"> was utilized to conduct all statistical analys</w:t>
      </w:r>
      <w:r w:rsidR="006575D3">
        <w:rPr>
          <w:rFonts w:cs="Times New Roman"/>
        </w:rPr>
        <w:t>e</w:t>
      </w:r>
      <w:r>
        <w:rPr>
          <w:rFonts w:cs="Times New Roman"/>
        </w:rPr>
        <w:t>s.</w:t>
      </w:r>
      <w:r w:rsidR="003F3EAE">
        <w:rPr>
          <w:rFonts w:cs="Times New Roman"/>
        </w:rPr>
        <w:t xml:space="preserve">  </w:t>
      </w:r>
      <w:r w:rsidR="003F3EAE" w:rsidRPr="003F3EAE">
        <w:rPr>
          <w:rFonts w:cs="Times New Roman"/>
        </w:rPr>
        <w:t xml:space="preserve">A trend analysis was conducted on TSS and total and dissolved phosphorus concentrations by using a multiple linear regression model.  In order to achieve accurate results with the regression model, various procedures were performed on the dataset to reduce bias.  TP outliers (equal to or greater than 1.3 mg/L) were removed from the dataset.  </w:t>
      </w:r>
      <w:r w:rsidR="008A1BB5">
        <w:rPr>
          <w:rFonts w:cs="Times New Roman"/>
        </w:rPr>
        <w:t xml:space="preserve">Samples prefixed by </w:t>
      </w:r>
      <w:r w:rsidR="00FD6F97">
        <w:rPr>
          <w:rFonts w:cs="Times New Roman"/>
        </w:rPr>
        <w:t>the less than symbol (</w:t>
      </w:r>
      <w:r w:rsidR="008A1BB5">
        <w:rPr>
          <w:rFonts w:cs="Times New Roman"/>
        </w:rPr>
        <w:t>“&lt;”</w:t>
      </w:r>
      <w:r w:rsidR="00FD6F97">
        <w:rPr>
          <w:rFonts w:cs="Times New Roman"/>
        </w:rPr>
        <w:t xml:space="preserve">) </w:t>
      </w:r>
      <w:r w:rsidR="008A1BB5">
        <w:rPr>
          <w:rFonts w:cs="Times New Roman"/>
        </w:rPr>
        <w:t xml:space="preserve">were assigned the associated value (presumed to be the LOD).  </w:t>
      </w:r>
      <w:r w:rsidR="003F3EAE" w:rsidRPr="003F3EAE">
        <w:rPr>
          <w:rFonts w:cs="Times New Roman"/>
        </w:rPr>
        <w:t xml:space="preserve">Periodically, manual samples and automatic samples were collected at the same time for comparison purposes.  These duplicate samples were flagged and subsequently removed.  </w:t>
      </w:r>
      <w:r w:rsidR="00EB4C58">
        <w:rPr>
          <w:rFonts w:cs="Times New Roman"/>
        </w:rPr>
        <w:t xml:space="preserve">Excluding non-parametric analysis, </w:t>
      </w:r>
      <w:r w:rsidR="003F3EAE" w:rsidRPr="003F3EAE">
        <w:rPr>
          <w:rFonts w:cs="Times New Roman"/>
        </w:rPr>
        <w:t>TSS and phosphorus concentrations and flow were log-transformed to achieve linearity and normality in the residuals.  Flow was transformed in two ways: log-transformed and log of the flow squared (calculated as [log(flow)]</w:t>
      </w:r>
      <w:r w:rsidR="003F3EAE" w:rsidRPr="00026444">
        <w:rPr>
          <w:rFonts w:cs="Times New Roman"/>
          <w:vertAlign w:val="superscript"/>
        </w:rPr>
        <w:t>2</w:t>
      </w:r>
      <w:r w:rsidR="003F3EAE" w:rsidRPr="003F3EAE">
        <w:rPr>
          <w:rFonts w:cs="Times New Roman"/>
        </w:rPr>
        <w:t xml:space="preserve">).  All references to log transformed data refer to natural logarithms.  </w:t>
      </w:r>
    </w:p>
    <w:p w:rsidR="003A09B2" w:rsidRDefault="003F3EAE" w:rsidP="00DD523D">
      <w:pPr>
        <w:spacing w:after="200"/>
        <w:ind w:firstLine="720"/>
        <w:rPr>
          <w:rFonts w:cs="Times New Roman"/>
        </w:rPr>
      </w:pPr>
      <w:r w:rsidRPr="003F3EAE">
        <w:rPr>
          <w:rFonts w:cs="Times New Roman"/>
        </w:rPr>
        <w:t xml:space="preserve">Included in the regression analysis were TSS, TP and DP as dependent variables and decimal time (date), log of flow, and log of flow squared as independent variables.  Decimal time served as the independent time trend variable of interest, whereby a regression slope for this variable that was significantly different than zero indicated a probable change in the dependent variable over time.  For example, if the regression coefficient for decimal time was negative, and significantly different than zero, then </w:t>
      </w:r>
      <w:r w:rsidR="00026444">
        <w:rPr>
          <w:rFonts w:cs="Times New Roman"/>
        </w:rPr>
        <w:t xml:space="preserve">TSS, </w:t>
      </w:r>
      <w:r w:rsidRPr="003F3EAE">
        <w:rPr>
          <w:rFonts w:cs="Times New Roman"/>
        </w:rPr>
        <w:t xml:space="preserve">TP or DP were decreasing over time.  Decimal time is the annual date, plus a decimal fraction that represents the time of year (e.g., 1995.4959 is June 30, 1995, or 1995 plus 181/365 days).  Flow was included in the regression analysis as an independent variable to account for potential changes in TSS and phosphorus that were related to flow.  </w:t>
      </w:r>
    </w:p>
    <w:p w:rsidR="001B3B3F" w:rsidRDefault="003F3EAE" w:rsidP="00DD523D">
      <w:pPr>
        <w:spacing w:after="200"/>
        <w:ind w:firstLine="720"/>
        <w:rPr>
          <w:rFonts w:cs="Times New Roman"/>
        </w:rPr>
      </w:pPr>
      <w:r w:rsidRPr="003F3EAE">
        <w:rPr>
          <w:rFonts w:cs="Times New Roman"/>
        </w:rPr>
        <w:t>Including flow and other potential exogenous variables in the regression analysis serves to reduce model error and increase the ability of the regression model to detect a trend over time.  Sine and cosine functions were included in the regression equation as independent variables to account for seasonal differences in the phosphorus concentrations in the manner recommended by Helsel and Hirsch (</w:t>
      </w:r>
      <w:r w:rsidR="001A0532">
        <w:rPr>
          <w:rFonts w:cs="Times New Roman"/>
        </w:rPr>
        <w:t>2002</w:t>
      </w:r>
      <w:r w:rsidRPr="003F3EAE">
        <w:rPr>
          <w:rFonts w:cs="Times New Roman"/>
        </w:rPr>
        <w:t xml:space="preserve">).  Finally, the Cp selection method was utilized to select the best regression model that described the dependent variables over time.  The Cp statistic explains as much variation in the independent variable as possible by including all relevant variables.  It also minimizes the number of coefficients, which helps to reduce the variance in the estimate (Helsel and Hirsch </w:t>
      </w:r>
      <w:r>
        <w:rPr>
          <w:rFonts w:cs="Times New Roman"/>
        </w:rPr>
        <w:t>2002</w:t>
      </w:r>
      <w:r w:rsidRPr="003F3EAE">
        <w:rPr>
          <w:rFonts w:cs="Times New Roman"/>
        </w:rPr>
        <w:t>).</w:t>
      </w:r>
    </w:p>
    <w:p w:rsidR="00C471D3" w:rsidRDefault="00C471D3">
      <w:pPr>
        <w:spacing w:after="200" w:line="276" w:lineRule="auto"/>
        <w:rPr>
          <w:rFonts w:cs="Times New Roman"/>
        </w:rPr>
      </w:pPr>
      <w:r>
        <w:rPr>
          <w:rFonts w:cs="Times New Roman"/>
        </w:rPr>
        <w:br w:type="page"/>
      </w:r>
    </w:p>
    <w:p w:rsidR="002D200F" w:rsidRDefault="00846D32" w:rsidP="002D200F">
      <w:pPr>
        <w:pStyle w:val="Heading1"/>
      </w:pPr>
      <w:r>
        <w:lastRenderedPageBreak/>
        <w:t>–</w:t>
      </w:r>
      <w:r w:rsidR="002D200F" w:rsidRPr="00023E45">
        <w:t xml:space="preserve"> </w:t>
      </w:r>
      <w:r>
        <w:t xml:space="preserve">WATER </w:t>
      </w:r>
      <w:r w:rsidR="002D200F" w:rsidRPr="00023E45">
        <w:t>QUALITY ANALYSIS</w:t>
      </w:r>
      <w:r w:rsidR="002D200F">
        <w:t xml:space="preserve"> - Results</w:t>
      </w:r>
    </w:p>
    <w:p w:rsidR="00E632D0" w:rsidRDefault="00E632D0" w:rsidP="00BC55F7"/>
    <w:p w:rsidR="00160E9E" w:rsidRPr="00113489" w:rsidRDefault="00422F8E" w:rsidP="00160E9E">
      <w:pPr>
        <w:pStyle w:val="Heading3"/>
        <w:rPr>
          <w:b/>
          <w:i w:val="0"/>
          <w:u w:val="none"/>
        </w:rPr>
      </w:pPr>
      <w:r w:rsidRPr="00113489">
        <w:rPr>
          <w:b/>
          <w:i w:val="0"/>
          <w:u w:val="none"/>
        </w:rPr>
        <w:t>2004 to 201</w:t>
      </w:r>
      <w:r w:rsidR="007A3ECA">
        <w:rPr>
          <w:b/>
          <w:i w:val="0"/>
          <w:u w:val="none"/>
        </w:rPr>
        <w:t>3</w:t>
      </w:r>
      <w:r w:rsidRPr="00113489">
        <w:rPr>
          <w:b/>
          <w:i w:val="0"/>
          <w:u w:val="none"/>
        </w:rPr>
        <w:t xml:space="preserve"> </w:t>
      </w:r>
      <w:r w:rsidR="003E750C" w:rsidRPr="00113489">
        <w:rPr>
          <w:b/>
          <w:i w:val="0"/>
          <w:u w:val="none"/>
        </w:rPr>
        <w:t xml:space="preserve">Regression </w:t>
      </w:r>
      <w:r w:rsidR="00BA21DA">
        <w:rPr>
          <w:b/>
          <w:i w:val="0"/>
          <w:u w:val="none"/>
        </w:rPr>
        <w:t xml:space="preserve">Trend </w:t>
      </w:r>
      <w:r w:rsidR="003E750C" w:rsidRPr="00113489">
        <w:rPr>
          <w:b/>
          <w:i w:val="0"/>
          <w:u w:val="none"/>
        </w:rPr>
        <w:t>Analysi</w:t>
      </w:r>
      <w:r w:rsidRPr="00113489">
        <w:rPr>
          <w:b/>
          <w:i w:val="0"/>
          <w:u w:val="none"/>
        </w:rPr>
        <w:t xml:space="preserve">s: Periods 3 and 4 </w:t>
      </w:r>
      <w:r w:rsidR="00113489">
        <w:rPr>
          <w:b/>
          <w:i w:val="0"/>
          <w:u w:val="none"/>
        </w:rPr>
        <w:t>C</w:t>
      </w:r>
      <w:r w:rsidRPr="00113489">
        <w:rPr>
          <w:b/>
          <w:i w:val="0"/>
          <w:u w:val="none"/>
        </w:rPr>
        <w:t>ombined</w:t>
      </w:r>
      <w:r w:rsidR="00BA21DA">
        <w:rPr>
          <w:b/>
          <w:i w:val="0"/>
          <w:u w:val="none"/>
        </w:rPr>
        <w:t xml:space="preserve"> (2004-201</w:t>
      </w:r>
      <w:r w:rsidR="007A3ECA">
        <w:rPr>
          <w:b/>
          <w:i w:val="0"/>
          <w:u w:val="none"/>
        </w:rPr>
        <w:t>3</w:t>
      </w:r>
      <w:r w:rsidR="00BA21DA">
        <w:rPr>
          <w:b/>
          <w:i w:val="0"/>
          <w:u w:val="none"/>
        </w:rPr>
        <w:t>)</w:t>
      </w:r>
    </w:p>
    <w:p w:rsidR="00E10AEF" w:rsidRDefault="00E10AEF" w:rsidP="00E10AEF">
      <w:pPr>
        <w:spacing w:after="120"/>
        <w:ind w:firstLine="720"/>
        <w:rPr>
          <w:rFonts w:cs="Times New Roman"/>
        </w:rPr>
      </w:pPr>
      <w:r>
        <w:rPr>
          <w:rFonts w:cs="Times New Roman"/>
        </w:rPr>
        <w:t>To simplify presentation of the results, only the results from the most meaningful regression equations are included in this report.  Other regression equations were generated but not included in this report, often because further analysis indicated that the equations violated the assumptions inherent to linear regression analysis such as normality of residuals.  A detailed account of the entire procedure can be found in Cibulka (2009).</w:t>
      </w:r>
    </w:p>
    <w:p w:rsidR="00E10AEF" w:rsidRPr="00CE3E9B" w:rsidRDefault="00E10AEF" w:rsidP="00E10AEF">
      <w:pPr>
        <w:spacing w:after="120"/>
        <w:ind w:firstLine="720"/>
        <w:rPr>
          <w:rFonts w:cs="Times New Roman"/>
        </w:rPr>
      </w:pPr>
      <w:r w:rsidRPr="00CE3E9B">
        <w:rPr>
          <w:rFonts w:cs="Times New Roman"/>
        </w:rPr>
        <w:t xml:space="preserve">The selected regression equation format comes from </w:t>
      </w:r>
      <w:r w:rsidRPr="00C04CD1">
        <w:rPr>
          <w:rFonts w:cs="Times New Roman"/>
        </w:rPr>
        <w:t>one of the default options</w:t>
      </w:r>
      <w:r w:rsidRPr="00CE3E9B">
        <w:rPr>
          <w:rFonts w:cs="Times New Roman"/>
        </w:rPr>
        <w:t xml:space="preserve"> defined in the load estimator program LOADEST (Runkel et al.</w:t>
      </w:r>
      <w:r>
        <w:rPr>
          <w:rFonts w:cs="Times New Roman"/>
        </w:rPr>
        <w:t>,</w:t>
      </w:r>
      <w:r w:rsidRPr="00CE3E9B">
        <w:rPr>
          <w:rFonts w:cs="Times New Roman"/>
        </w:rPr>
        <w:t xml:space="preserve"> 2004).  In this equation, steps are taken to</w:t>
      </w:r>
      <w:r>
        <w:rPr>
          <w:rFonts w:cs="Times New Roman"/>
        </w:rPr>
        <w:t xml:space="preserve"> </w:t>
      </w:r>
      <w:r w:rsidRPr="00CE3E9B">
        <w:rPr>
          <w:rFonts w:cs="Times New Roman"/>
        </w:rPr>
        <w:t xml:space="preserve">eliminate collinearity.  Collinearity occurs when two or more variables in a multiple regression are highly correlated.  For example, if streamflow and precipitation are used as variables in the same regression, the results may be inaccurate because streamflow and precipitation are highly </w:t>
      </w:r>
      <w:r>
        <w:rPr>
          <w:rFonts w:cs="Times New Roman"/>
        </w:rPr>
        <w:t xml:space="preserve">related </w:t>
      </w:r>
      <w:r w:rsidRPr="00CE3E9B">
        <w:rPr>
          <w:rFonts w:cs="Times New Roman"/>
        </w:rPr>
        <w:t xml:space="preserve">to each other.  </w:t>
      </w:r>
      <w:r w:rsidR="00CB6E93">
        <w:rPr>
          <w:rFonts w:cs="Times New Roman"/>
        </w:rPr>
        <w:t xml:space="preserve">Helsel and Hirsch (2002) and </w:t>
      </w:r>
      <w:r w:rsidRPr="00CE3E9B">
        <w:rPr>
          <w:rFonts w:cs="Times New Roman"/>
        </w:rPr>
        <w:t xml:space="preserve">Runkel et al. (2004) suggest centering explanatory variables to reduce this problem.  In the centering process the </w:t>
      </w:r>
      <w:r>
        <w:rPr>
          <w:rFonts w:cs="Times New Roman"/>
        </w:rPr>
        <w:t xml:space="preserve">center of the </w:t>
      </w:r>
      <w:r w:rsidRPr="00CE3E9B">
        <w:rPr>
          <w:rFonts w:cs="Times New Roman"/>
        </w:rPr>
        <w:t>independent variable</w:t>
      </w:r>
      <w:r>
        <w:rPr>
          <w:rFonts w:cs="Times New Roman"/>
        </w:rPr>
        <w:t>, as defined by Cohn et al. (1992),</w:t>
      </w:r>
      <w:r w:rsidRPr="00CE3E9B">
        <w:rPr>
          <w:rFonts w:cs="Times New Roman"/>
        </w:rPr>
        <w:t xml:space="preserve"> is subtracted from </w:t>
      </w:r>
      <w:r>
        <w:rPr>
          <w:rFonts w:cs="Times New Roman"/>
        </w:rPr>
        <w:t xml:space="preserve">the </w:t>
      </w:r>
      <w:r w:rsidRPr="00CE3E9B">
        <w:rPr>
          <w:rFonts w:cs="Times New Roman"/>
        </w:rPr>
        <w:t xml:space="preserve">original values.  The result is a “centered” model.  The LOADEST model centers the flow as well as time (in decimal format).  The </w:t>
      </w:r>
      <w:r w:rsidR="00317138">
        <w:rPr>
          <w:rFonts w:cs="Times New Roman"/>
        </w:rPr>
        <w:t xml:space="preserve">selected </w:t>
      </w:r>
      <w:r w:rsidRPr="00CE3E9B">
        <w:rPr>
          <w:rFonts w:cs="Times New Roman"/>
        </w:rPr>
        <w:t>regression equation is as follows:</w:t>
      </w:r>
    </w:p>
    <w:p w:rsidR="00E10AEF" w:rsidRPr="00CE3E9B" w:rsidRDefault="00E10AEF" w:rsidP="00E10AEF">
      <w:pPr>
        <w:spacing w:after="120"/>
        <w:jc w:val="center"/>
        <w:rPr>
          <w:rFonts w:cs="Times New Roman"/>
        </w:rPr>
      </w:pPr>
      <w:r w:rsidRPr="00CE3E9B">
        <w:rPr>
          <w:rFonts w:cs="Times New Roman"/>
        </w:rPr>
        <w:t>LN-constituent = a0 + a1 LN_Q + a2 LN_Q</w:t>
      </w:r>
      <w:r w:rsidRPr="00CE3E9B">
        <w:rPr>
          <w:rFonts w:cs="Times New Roman"/>
          <w:vertAlign w:val="superscript"/>
        </w:rPr>
        <w:t>2</w:t>
      </w:r>
      <w:r w:rsidRPr="00CE3E9B">
        <w:rPr>
          <w:rFonts w:cs="Times New Roman"/>
        </w:rPr>
        <w:t xml:space="preserve"> + a3 SIN(2πDEC_TIME) + a4 COS(2πDEC_TIME) + a5 DEC_TIME</w:t>
      </w:r>
    </w:p>
    <w:p w:rsidR="00E10AEF" w:rsidRDefault="00E10AEF" w:rsidP="00E10AEF">
      <w:pPr>
        <w:spacing w:after="120"/>
        <w:rPr>
          <w:rFonts w:cs="Times New Roman"/>
        </w:rPr>
      </w:pPr>
      <w:r w:rsidRPr="00CE3E9B">
        <w:rPr>
          <w:rFonts w:cs="Times New Roman"/>
        </w:rPr>
        <w:t>Where</w:t>
      </w:r>
      <w:r>
        <w:rPr>
          <w:rFonts w:cs="Times New Roman"/>
        </w:rPr>
        <w:t xml:space="preserve"> a0 is the intercept, </w:t>
      </w:r>
      <w:r w:rsidRPr="00CE3E9B">
        <w:rPr>
          <w:rFonts w:cs="Times New Roman"/>
        </w:rPr>
        <w:t>a</w:t>
      </w:r>
      <w:r>
        <w:rPr>
          <w:rFonts w:cs="Times New Roman"/>
        </w:rPr>
        <w:t>1 to a5 are the regression parameters of each of the</w:t>
      </w:r>
      <w:r w:rsidRPr="00CE3E9B">
        <w:rPr>
          <w:rFonts w:cs="Times New Roman"/>
        </w:rPr>
        <w:t xml:space="preserve"> independent variables, LN_Q is the log of flow, LN_Q</w:t>
      </w:r>
      <w:r w:rsidRPr="00CE3E9B">
        <w:rPr>
          <w:rFonts w:cs="Times New Roman"/>
          <w:vertAlign w:val="superscript"/>
        </w:rPr>
        <w:t xml:space="preserve">2 </w:t>
      </w:r>
      <w:r w:rsidRPr="00CE3E9B">
        <w:rPr>
          <w:rFonts w:cs="Times New Roman"/>
        </w:rPr>
        <w:t xml:space="preserve">is the log of flow squared, DEC_TIME is decimal </w:t>
      </w:r>
      <w:r w:rsidR="00317138">
        <w:rPr>
          <w:rFonts w:cs="Times New Roman"/>
        </w:rPr>
        <w:t>date/</w:t>
      </w:r>
      <w:r w:rsidRPr="00CE3E9B">
        <w:rPr>
          <w:rFonts w:cs="Times New Roman"/>
        </w:rPr>
        <w:t>time, SIN and COS</w:t>
      </w:r>
      <w:r w:rsidR="00BA21DA">
        <w:rPr>
          <w:rFonts w:cs="Times New Roman"/>
        </w:rPr>
        <w:t xml:space="preserve"> terms</w:t>
      </w:r>
      <w:r w:rsidRPr="00CE3E9B">
        <w:rPr>
          <w:rFonts w:cs="Times New Roman"/>
        </w:rPr>
        <w:t xml:space="preserve"> are sine and cosine cur</w:t>
      </w:r>
      <w:r>
        <w:rPr>
          <w:rFonts w:cs="Times New Roman"/>
        </w:rPr>
        <w:t>v</w:t>
      </w:r>
      <w:r w:rsidRPr="00CE3E9B">
        <w:rPr>
          <w:rFonts w:cs="Times New Roman"/>
        </w:rPr>
        <w:t>es that describe the seasonal phase shift</w:t>
      </w:r>
      <w:r w:rsidR="00BA21DA">
        <w:rPr>
          <w:rFonts w:cs="Times New Roman"/>
        </w:rPr>
        <w:t xml:space="preserve"> as a function of DEC_TIME</w:t>
      </w:r>
      <w:r>
        <w:rPr>
          <w:rFonts w:cs="Times New Roman"/>
        </w:rPr>
        <w:t>, and LN-constituent is the natural log transformed constituent of interest (e.g., LN_TP, LN_TSS, LN_DP)</w:t>
      </w:r>
      <w:r w:rsidRPr="00CE3E9B">
        <w:rPr>
          <w:rFonts w:cs="Times New Roman"/>
        </w:rPr>
        <w:t>.</w:t>
      </w:r>
      <w:r>
        <w:rPr>
          <w:rFonts w:cs="Times New Roman"/>
        </w:rPr>
        <w:t xml:space="preserve">  This equation also coincided with the equation that was chosen as the best equation by t</w:t>
      </w:r>
      <w:r w:rsidRPr="00CE3E9B">
        <w:rPr>
          <w:rFonts w:cs="Times New Roman"/>
        </w:rPr>
        <w:t xml:space="preserve">he Cp selection method </w:t>
      </w:r>
      <w:r>
        <w:rPr>
          <w:rFonts w:cs="Times New Roman"/>
        </w:rPr>
        <w:t xml:space="preserve">in SAS.  </w:t>
      </w:r>
    </w:p>
    <w:p w:rsidR="006B7B85" w:rsidRDefault="006B7B85" w:rsidP="006B7B85">
      <w:pPr>
        <w:spacing w:after="120"/>
        <w:ind w:firstLine="720"/>
        <w:rPr>
          <w:rFonts w:cs="Times New Roman"/>
        </w:rPr>
      </w:pPr>
      <w:r>
        <w:rPr>
          <w:rFonts w:cs="Times New Roman"/>
        </w:rPr>
        <w:t>P</w:t>
      </w:r>
      <w:r w:rsidRPr="00CE3E9B">
        <w:rPr>
          <w:rFonts w:cs="Times New Roman"/>
        </w:rPr>
        <w:t xml:space="preserve">otential trends </w:t>
      </w:r>
      <w:r w:rsidRPr="00E10AEF">
        <w:rPr>
          <w:rFonts w:cs="Times New Roman"/>
        </w:rPr>
        <w:t xml:space="preserve">within </w:t>
      </w:r>
      <w:r w:rsidRPr="00CE3E9B">
        <w:rPr>
          <w:rFonts w:cs="Times New Roman"/>
        </w:rPr>
        <w:t xml:space="preserve">the </w:t>
      </w:r>
      <w:r>
        <w:rPr>
          <w:rFonts w:cs="Times New Roman"/>
        </w:rPr>
        <w:t>2004-2013 water y</w:t>
      </w:r>
      <w:r w:rsidRPr="00CE3E9B">
        <w:rPr>
          <w:rFonts w:cs="Times New Roman"/>
        </w:rPr>
        <w:t>ear dataset</w:t>
      </w:r>
      <w:r>
        <w:rPr>
          <w:rFonts w:cs="Times New Roman"/>
        </w:rPr>
        <w:t xml:space="preserve"> were examined by applying the above </w:t>
      </w:r>
      <w:r w:rsidRPr="00CE3E9B">
        <w:rPr>
          <w:rFonts w:cs="Times New Roman"/>
        </w:rPr>
        <w:t xml:space="preserve">regression model to </w:t>
      </w:r>
      <w:r>
        <w:rPr>
          <w:rFonts w:cs="Times New Roman"/>
        </w:rPr>
        <w:t>the data within this period</w:t>
      </w:r>
      <w:r w:rsidRPr="00CE3E9B">
        <w:rPr>
          <w:rFonts w:cs="Times New Roman"/>
        </w:rPr>
        <w:t xml:space="preserve">.  </w:t>
      </w:r>
      <w:r w:rsidRPr="00F1019B">
        <w:rPr>
          <w:rFonts w:cs="Times New Roman"/>
          <w:u w:val="single"/>
        </w:rPr>
        <w:t>However, data from 58 water samples collected from 1/1/2008 through 6/15/2008 (</w:t>
      </w:r>
      <w:r w:rsidR="004E4748">
        <w:rPr>
          <w:rFonts w:cs="Times New Roman"/>
          <w:u w:val="single"/>
        </w:rPr>
        <w:t xml:space="preserve">portion of </w:t>
      </w:r>
      <w:r w:rsidRPr="00F1019B">
        <w:rPr>
          <w:rFonts w:cs="Times New Roman"/>
          <w:u w:val="single"/>
        </w:rPr>
        <w:t>water year 2008) were not included in this trend analysis</w:t>
      </w:r>
      <w:r>
        <w:rPr>
          <w:rFonts w:cs="Times New Roman"/>
        </w:rPr>
        <w:t xml:space="preserve"> because the data may have been influenced by unusual weather conditions such as high runoff from snow melt with little rainfall, or potential sampling problems, as previously mentioned in Chapter 2</w:t>
      </w:r>
      <w:r w:rsidR="004E4748">
        <w:rPr>
          <w:rFonts w:cs="Times New Roman"/>
        </w:rPr>
        <w:t xml:space="preserve"> of this document, and Chapter </w:t>
      </w:r>
      <w:r w:rsidR="0033490C">
        <w:rPr>
          <w:rFonts w:cs="Times New Roman"/>
        </w:rPr>
        <w:t>3</w:t>
      </w:r>
      <w:r w:rsidR="004E4748">
        <w:rPr>
          <w:rFonts w:cs="Times New Roman"/>
        </w:rPr>
        <w:t xml:space="preserve"> </w:t>
      </w:r>
      <w:r w:rsidR="0033490C">
        <w:rPr>
          <w:rFonts w:cs="Times New Roman"/>
        </w:rPr>
        <w:t xml:space="preserve">in </w:t>
      </w:r>
      <w:r w:rsidR="004E4748">
        <w:rPr>
          <w:rFonts w:cs="Times New Roman"/>
        </w:rPr>
        <w:t>Cibulka et al. (20</w:t>
      </w:r>
      <w:r w:rsidR="0033490C">
        <w:rPr>
          <w:rFonts w:cs="Times New Roman"/>
        </w:rPr>
        <w:t>09</w:t>
      </w:r>
      <w:r w:rsidR="004E4748">
        <w:rPr>
          <w:rFonts w:cs="Times New Roman"/>
        </w:rPr>
        <w:t>)</w:t>
      </w:r>
      <w:r>
        <w:rPr>
          <w:rFonts w:cs="Times New Roman"/>
        </w:rPr>
        <w:t xml:space="preserve">.  </w:t>
      </w:r>
    </w:p>
    <w:p w:rsidR="00486F3D" w:rsidRDefault="006B7B85" w:rsidP="00690034">
      <w:pPr>
        <w:spacing w:after="120"/>
        <w:ind w:firstLine="720"/>
        <w:rPr>
          <w:rFonts w:cs="Times New Roman"/>
        </w:rPr>
      </w:pPr>
      <w:r w:rsidRPr="00077FA5">
        <w:rPr>
          <w:rFonts w:cs="Times New Roman"/>
        </w:rPr>
        <w:t>Parameter estimates for the resulting TSS, TP and DP regression models are summarized in Table 1.  Decimal time was a significant explanatory variable for log-transformed TSS</w:t>
      </w:r>
      <w:r w:rsidR="009500E1">
        <w:rPr>
          <w:rFonts w:cs="Times New Roman"/>
        </w:rPr>
        <w:t xml:space="preserve">, TP and DP </w:t>
      </w:r>
      <w:r w:rsidR="00690034" w:rsidRPr="00A002ED">
        <w:rPr>
          <w:rFonts w:cs="Times New Roman"/>
        </w:rPr>
        <w:t>concentrations</w:t>
      </w:r>
      <w:r w:rsidR="00F5233D">
        <w:rPr>
          <w:rFonts w:cs="Times New Roman"/>
        </w:rPr>
        <w:t xml:space="preserve">: </w:t>
      </w:r>
      <w:r w:rsidR="009E798A" w:rsidRPr="00077FA5">
        <w:rPr>
          <w:rFonts w:cs="Times New Roman"/>
        </w:rPr>
        <w:t>p</w:t>
      </w:r>
      <w:r w:rsidR="009E798A">
        <w:rPr>
          <w:rFonts w:cs="Times New Roman"/>
        </w:rPr>
        <w:t xml:space="preserve"> </w:t>
      </w:r>
      <w:r w:rsidR="00120C7F">
        <w:rPr>
          <w:rFonts w:cs="Times New Roman"/>
        </w:rPr>
        <w:t>&lt;</w:t>
      </w:r>
      <w:r w:rsidR="00486F3D">
        <w:rPr>
          <w:rFonts w:cs="Times New Roman"/>
        </w:rPr>
        <w:t xml:space="preserve"> 0.0001, </w:t>
      </w:r>
      <w:r w:rsidR="00690034" w:rsidRPr="00A002ED">
        <w:rPr>
          <w:rFonts w:cs="Times New Roman"/>
        </w:rPr>
        <w:t>p =</w:t>
      </w:r>
      <w:r w:rsidR="00F5233D">
        <w:rPr>
          <w:rFonts w:cs="Times New Roman"/>
        </w:rPr>
        <w:t xml:space="preserve"> 0.0019</w:t>
      </w:r>
      <w:r w:rsidR="009500E1">
        <w:rPr>
          <w:rFonts w:cs="Times New Roman"/>
        </w:rPr>
        <w:t>,</w:t>
      </w:r>
      <w:r w:rsidR="00690034">
        <w:rPr>
          <w:rFonts w:cs="Times New Roman"/>
        </w:rPr>
        <w:t xml:space="preserve"> </w:t>
      </w:r>
      <w:r w:rsidR="00486F3D">
        <w:rPr>
          <w:rFonts w:cs="Times New Roman"/>
        </w:rPr>
        <w:t>and p = 0.0067</w:t>
      </w:r>
      <w:r w:rsidR="00F5233D">
        <w:rPr>
          <w:rFonts w:cs="Times New Roman"/>
        </w:rPr>
        <w:t xml:space="preserve">, </w:t>
      </w:r>
      <w:r w:rsidR="00690034">
        <w:rPr>
          <w:rFonts w:cs="Times New Roman"/>
        </w:rPr>
        <w:t>respectively</w:t>
      </w:r>
      <w:r w:rsidRPr="00077FA5">
        <w:rPr>
          <w:rFonts w:cs="Times New Roman"/>
        </w:rPr>
        <w:t xml:space="preserve">.  </w:t>
      </w:r>
    </w:p>
    <w:p w:rsidR="00486F3D" w:rsidRPr="00AD445F" w:rsidRDefault="00D25AAF" w:rsidP="00486F3D">
      <w:pPr>
        <w:spacing w:after="120"/>
        <w:ind w:firstLine="720"/>
        <w:rPr>
          <w:rFonts w:cs="Times New Roman"/>
        </w:rPr>
      </w:pPr>
      <w:r>
        <w:rPr>
          <w:rFonts w:cs="Times New Roman"/>
        </w:rPr>
        <w:t>For the LN_TSS model, t</w:t>
      </w:r>
      <w:r w:rsidR="006B7B85" w:rsidRPr="00077FA5">
        <w:rPr>
          <w:rFonts w:cs="Times New Roman"/>
        </w:rPr>
        <w:t>he slope for decimal time was -0.07</w:t>
      </w:r>
      <w:r w:rsidR="00120C7F">
        <w:rPr>
          <w:rFonts w:cs="Times New Roman"/>
        </w:rPr>
        <w:t>21</w:t>
      </w:r>
      <w:r w:rsidR="006B7B85" w:rsidRPr="00077FA5">
        <w:rPr>
          <w:rFonts w:cs="Times New Roman"/>
        </w:rPr>
        <w:t xml:space="preserve">, which is roughly equivalent to a decrease of </w:t>
      </w:r>
      <w:r w:rsidR="00120C7F">
        <w:rPr>
          <w:rFonts w:cs="Times New Roman"/>
        </w:rPr>
        <w:t>6.95</w:t>
      </w:r>
      <w:r w:rsidR="006B7B85" w:rsidRPr="00077FA5">
        <w:rPr>
          <w:rFonts w:cs="Times New Roman"/>
        </w:rPr>
        <w:t xml:space="preserve">% per year over the 2004 to 2013 period.  </w:t>
      </w:r>
      <w:r w:rsidR="00991C20" w:rsidRPr="00077FA5">
        <w:rPr>
          <w:rFonts w:cs="Times New Roman"/>
          <w:u w:val="single"/>
        </w:rPr>
        <w:t>Ca</w:t>
      </w:r>
      <w:r w:rsidR="006B7B85" w:rsidRPr="00077FA5">
        <w:rPr>
          <w:rFonts w:cs="Times New Roman"/>
          <w:u w:val="single"/>
        </w:rPr>
        <w:t>ution is advised when interpreting th</w:t>
      </w:r>
      <w:r w:rsidR="00991C20" w:rsidRPr="00077FA5">
        <w:rPr>
          <w:rFonts w:cs="Times New Roman"/>
          <w:u w:val="single"/>
        </w:rPr>
        <w:t>e rate of th</w:t>
      </w:r>
      <w:r w:rsidR="006B7B85" w:rsidRPr="00077FA5">
        <w:rPr>
          <w:rFonts w:cs="Times New Roman"/>
          <w:u w:val="single"/>
        </w:rPr>
        <w:t xml:space="preserve">is </w:t>
      </w:r>
      <w:r w:rsidR="00AA5277">
        <w:rPr>
          <w:rFonts w:cs="Times New Roman"/>
          <w:u w:val="single"/>
        </w:rPr>
        <w:t xml:space="preserve">apparent </w:t>
      </w:r>
      <w:r w:rsidR="006B7B85" w:rsidRPr="00077FA5">
        <w:rPr>
          <w:rFonts w:cs="Times New Roman"/>
          <w:u w:val="single"/>
        </w:rPr>
        <w:t>decrease until more data is collected to confirm these results</w:t>
      </w:r>
      <w:r w:rsidR="0027567B">
        <w:rPr>
          <w:rFonts w:cs="Times New Roman"/>
          <w:u w:val="single"/>
        </w:rPr>
        <w:t xml:space="preserve">.  Also, this rate may not directly translate to a </w:t>
      </w:r>
      <w:r w:rsidR="009F06E2">
        <w:rPr>
          <w:rFonts w:cs="Times New Roman"/>
          <w:u w:val="single"/>
        </w:rPr>
        <w:t xml:space="preserve">similar </w:t>
      </w:r>
      <w:r w:rsidR="0027567B">
        <w:rPr>
          <w:rFonts w:cs="Times New Roman"/>
          <w:u w:val="single"/>
        </w:rPr>
        <w:t>decrease in load</w:t>
      </w:r>
      <w:r w:rsidR="006B7B85" w:rsidRPr="00077FA5">
        <w:rPr>
          <w:rFonts w:cs="Times New Roman"/>
        </w:rPr>
        <w:t>.  Overall model F value was 1</w:t>
      </w:r>
      <w:r w:rsidR="00486F3D">
        <w:rPr>
          <w:rFonts w:cs="Times New Roman"/>
        </w:rPr>
        <w:t>40.1</w:t>
      </w:r>
      <w:r w:rsidR="006B7B85" w:rsidRPr="00077FA5">
        <w:rPr>
          <w:rFonts w:cs="Times New Roman"/>
        </w:rPr>
        <w:t xml:space="preserve"> (p &lt; 0.0001), and the adjusted R-squared was 0.</w:t>
      </w:r>
      <w:r w:rsidR="00486F3D">
        <w:rPr>
          <w:rFonts w:cs="Times New Roman"/>
        </w:rPr>
        <w:t>722</w:t>
      </w:r>
      <w:r w:rsidR="006B7B85" w:rsidRPr="00077FA5">
        <w:rPr>
          <w:rFonts w:cs="Times New Roman"/>
        </w:rPr>
        <w:t>.</w:t>
      </w:r>
      <w:r>
        <w:rPr>
          <w:rFonts w:cs="Times New Roman"/>
        </w:rPr>
        <w:t xml:space="preserve">  For the LN_TP model, t</w:t>
      </w:r>
      <w:r w:rsidR="00690034" w:rsidRPr="00A002ED">
        <w:rPr>
          <w:rFonts w:cs="Times New Roman"/>
        </w:rPr>
        <w:t>he slope for decimal time was -0.0</w:t>
      </w:r>
      <w:r w:rsidR="00120C7F">
        <w:rPr>
          <w:rFonts w:cs="Times New Roman"/>
        </w:rPr>
        <w:t>430</w:t>
      </w:r>
      <w:r w:rsidR="00690034" w:rsidRPr="00A002ED">
        <w:rPr>
          <w:rFonts w:cs="Times New Roman"/>
        </w:rPr>
        <w:t xml:space="preserve">, which is roughly equivalent to a decrease of </w:t>
      </w:r>
      <w:r w:rsidR="00120C7F">
        <w:rPr>
          <w:rFonts w:cs="Times New Roman"/>
        </w:rPr>
        <w:t>4</w:t>
      </w:r>
      <w:r w:rsidR="00690034" w:rsidRPr="00A002ED">
        <w:rPr>
          <w:rFonts w:cs="Times New Roman"/>
        </w:rPr>
        <w:t>.</w:t>
      </w:r>
      <w:r w:rsidR="00120C7F">
        <w:rPr>
          <w:rFonts w:cs="Times New Roman"/>
        </w:rPr>
        <w:t>2</w:t>
      </w:r>
      <w:r w:rsidR="00690034" w:rsidRPr="00A002ED">
        <w:rPr>
          <w:rFonts w:cs="Times New Roman"/>
        </w:rPr>
        <w:t xml:space="preserve">% per year over the 2004 to 2013 period.  </w:t>
      </w:r>
      <w:r w:rsidR="00690034" w:rsidRPr="00A002ED">
        <w:rPr>
          <w:rFonts w:cs="Times New Roman"/>
          <w:u w:val="single"/>
        </w:rPr>
        <w:t xml:space="preserve">Although decimal time was a significant explanatory variable for </w:t>
      </w:r>
      <w:r w:rsidR="00690034" w:rsidRPr="00A002ED">
        <w:rPr>
          <w:rFonts w:cs="Times New Roman"/>
          <w:u w:val="single"/>
        </w:rPr>
        <w:lastRenderedPageBreak/>
        <w:t>TP, caution is advised when interpreting the</w:t>
      </w:r>
      <w:r w:rsidR="00AA5277">
        <w:rPr>
          <w:rFonts w:cs="Times New Roman"/>
          <w:u w:val="single"/>
        </w:rPr>
        <w:t xml:space="preserve"> rate of this apparent decrease</w:t>
      </w:r>
      <w:r w:rsidR="00690034" w:rsidRPr="00A002ED">
        <w:rPr>
          <w:rFonts w:cs="Times New Roman"/>
          <w:u w:val="single"/>
        </w:rPr>
        <w:t xml:space="preserve"> until more data is collected to confirm these results</w:t>
      </w:r>
      <w:r w:rsidR="00690034" w:rsidRPr="00A002ED">
        <w:rPr>
          <w:rFonts w:cs="Times New Roman"/>
        </w:rPr>
        <w:t>.  Overall F value for the LN_TP model was 3</w:t>
      </w:r>
      <w:r w:rsidR="00486F3D">
        <w:rPr>
          <w:rFonts w:cs="Times New Roman"/>
        </w:rPr>
        <w:t>5</w:t>
      </w:r>
      <w:r w:rsidR="00690034" w:rsidRPr="00A002ED">
        <w:rPr>
          <w:rFonts w:cs="Times New Roman"/>
        </w:rPr>
        <w:t>.</w:t>
      </w:r>
      <w:r w:rsidR="00486F3D">
        <w:rPr>
          <w:rFonts w:cs="Times New Roman"/>
        </w:rPr>
        <w:t>3</w:t>
      </w:r>
      <w:r w:rsidR="00690034" w:rsidRPr="00A002ED">
        <w:rPr>
          <w:rFonts w:cs="Times New Roman"/>
        </w:rPr>
        <w:t>6 (p &lt; 0.0001), and the adjusted R-square was 0.3</w:t>
      </w:r>
      <w:r w:rsidR="00486F3D" w:rsidRPr="00F5233D">
        <w:rPr>
          <w:rFonts w:cs="Times New Roman"/>
        </w:rPr>
        <w:t>91</w:t>
      </w:r>
      <w:r w:rsidR="00690034" w:rsidRPr="00F5233D">
        <w:rPr>
          <w:rFonts w:cs="Times New Roman"/>
        </w:rPr>
        <w:t>.</w:t>
      </w:r>
      <w:r w:rsidR="00117717">
        <w:rPr>
          <w:rFonts w:cs="Times New Roman"/>
        </w:rPr>
        <w:t xml:space="preserve">  </w:t>
      </w:r>
      <w:r w:rsidR="00F5233D" w:rsidRPr="00F5233D">
        <w:rPr>
          <w:rFonts w:cs="Times New Roman"/>
        </w:rPr>
        <w:t>For the LN_DP model, t</w:t>
      </w:r>
      <w:r w:rsidR="00486F3D" w:rsidRPr="00F5233D">
        <w:rPr>
          <w:rFonts w:cs="Times New Roman"/>
        </w:rPr>
        <w:t>he slope for decimal time was -0.0457, which is roughly equivalent to a decrease of 4.</w:t>
      </w:r>
      <w:r w:rsidR="00F5233D">
        <w:rPr>
          <w:rFonts w:cs="Times New Roman"/>
        </w:rPr>
        <w:t>5</w:t>
      </w:r>
      <w:r w:rsidR="00486F3D" w:rsidRPr="00F5233D">
        <w:rPr>
          <w:rFonts w:cs="Times New Roman"/>
        </w:rPr>
        <w:t>% per year over the 2004 to 2013 period.  Overall F value for the LN_DP model was 6.42 (p &lt; 0.0001</w:t>
      </w:r>
      <w:r w:rsidR="00F5233D">
        <w:rPr>
          <w:rFonts w:cs="Times New Roman"/>
        </w:rPr>
        <w:t>, n = 125</w:t>
      </w:r>
      <w:r w:rsidR="00486F3D" w:rsidRPr="00F5233D">
        <w:rPr>
          <w:rFonts w:cs="Times New Roman"/>
        </w:rPr>
        <w:t xml:space="preserve">), and the adjusted R-square was 0.179.  </w:t>
      </w:r>
      <w:r w:rsidR="00486F3D" w:rsidRPr="00F5233D">
        <w:rPr>
          <w:rFonts w:cs="Times New Roman"/>
          <w:u w:val="single"/>
        </w:rPr>
        <w:t>Therefore, caution is advised when interpreting the annual decrease rate because the overall regression model is not overwhelmingly strong</w:t>
      </w:r>
      <w:r w:rsidR="00F5233D">
        <w:rPr>
          <w:rFonts w:cs="Times New Roman"/>
          <w:u w:val="single"/>
        </w:rPr>
        <w:t xml:space="preserve">, and additional data may be needed to confirm this </w:t>
      </w:r>
      <w:r w:rsidR="00F5233D" w:rsidRPr="00AD445F">
        <w:rPr>
          <w:rFonts w:cs="Times New Roman"/>
          <w:u w:val="single"/>
        </w:rPr>
        <w:t>decrease</w:t>
      </w:r>
      <w:r w:rsidR="00486F3D" w:rsidRPr="00AD445F">
        <w:rPr>
          <w:rFonts w:cs="Times New Roman"/>
        </w:rPr>
        <w:t xml:space="preserve">.  </w:t>
      </w:r>
    </w:p>
    <w:p w:rsidR="00F13234" w:rsidRPr="009E44B4" w:rsidRDefault="00F13234" w:rsidP="00160E9E">
      <w:pPr>
        <w:spacing w:after="120"/>
        <w:ind w:firstLine="720"/>
        <w:rPr>
          <w:rFonts w:cs="Times New Roman"/>
          <w:b/>
        </w:rPr>
      </w:pPr>
      <w:r w:rsidRPr="009E44B4">
        <w:rPr>
          <w:rFonts w:cs="Times New Roman"/>
          <w:b/>
        </w:rPr>
        <w:t xml:space="preserve">  </w:t>
      </w:r>
    </w:p>
    <w:p w:rsidR="00CB6E93" w:rsidRDefault="001A0A83" w:rsidP="001A0A83">
      <w:pPr>
        <w:pStyle w:val="Caption"/>
      </w:pPr>
      <w:bookmarkStart w:id="13" w:name="_Toc239677153"/>
      <w:bookmarkStart w:id="14" w:name="_Toc245631733"/>
      <w:r>
        <w:t>T</w:t>
      </w:r>
      <w:r w:rsidR="009F3EAA" w:rsidRPr="00B12B4E">
        <w:t>able</w:t>
      </w:r>
      <w:r w:rsidR="007E65B9">
        <w:t xml:space="preserve"> 1</w:t>
      </w:r>
      <w:r w:rsidR="009F3EAA" w:rsidRPr="00B12B4E">
        <w:t>.</w:t>
      </w:r>
      <w:r w:rsidRPr="00BC55F7">
        <w:t xml:space="preserve"> </w:t>
      </w:r>
      <w:r>
        <w:t xml:space="preserve"> Regression model e</w:t>
      </w:r>
      <w:r w:rsidRPr="00BC55F7">
        <w:rPr>
          <w:rFonts w:cs="Times New Roman"/>
        </w:rPr>
        <w:t>stimates</w:t>
      </w:r>
      <w:r w:rsidRPr="00BC55F7">
        <w:t xml:space="preserve">, standard errors, and P-values of the coefficients in the Duck Creek </w:t>
      </w:r>
      <w:r>
        <w:t xml:space="preserve">log-transformed </w:t>
      </w:r>
      <w:r w:rsidR="00816EB5">
        <w:t>total suspended solids (</w:t>
      </w:r>
      <w:r w:rsidR="006812B0">
        <w:t>LN_</w:t>
      </w:r>
      <w:r w:rsidR="00816EB5">
        <w:t>TSS)</w:t>
      </w:r>
      <w:r w:rsidR="006812B0">
        <w:t xml:space="preserve">, </w:t>
      </w:r>
      <w:r>
        <w:t>total phosphorus (LN_TP)</w:t>
      </w:r>
      <w:r w:rsidR="006812B0">
        <w:t xml:space="preserve">, and </w:t>
      </w:r>
      <w:r w:rsidR="00D9464B">
        <w:t xml:space="preserve">total </w:t>
      </w:r>
      <w:r w:rsidR="006812B0">
        <w:t>dissolved phosphorus (LN_DP)</w:t>
      </w:r>
      <w:r w:rsidRPr="00BC55F7">
        <w:t xml:space="preserve"> regression</w:t>
      </w:r>
      <w:r>
        <w:t xml:space="preserve"> models for </w:t>
      </w:r>
      <w:r w:rsidR="00816EB5">
        <w:t>the 2004 to 201</w:t>
      </w:r>
      <w:r w:rsidR="006812B0">
        <w:t>3</w:t>
      </w:r>
      <w:r w:rsidR="00816EB5">
        <w:t xml:space="preserve"> p</w:t>
      </w:r>
      <w:r>
        <w:t>eriod (USGS water years).</w:t>
      </w:r>
      <w:bookmarkEnd w:id="13"/>
      <w:bookmarkEnd w:id="14"/>
      <w:r w:rsidR="00494B7A">
        <w:t xml:space="preserve">  Significance levels of the primary explanatory variable decimal time are in bold.</w:t>
      </w:r>
    </w:p>
    <w:tbl>
      <w:tblPr>
        <w:tblStyle w:val="TableGrid"/>
        <w:tblW w:w="0" w:type="auto"/>
        <w:tblLook w:val="04A0" w:firstRow="1" w:lastRow="0" w:firstColumn="1" w:lastColumn="0" w:noHBand="0" w:noVBand="1"/>
      </w:tblPr>
      <w:tblGrid>
        <w:gridCol w:w="877"/>
        <w:gridCol w:w="1056"/>
        <w:gridCol w:w="1164"/>
        <w:gridCol w:w="1018"/>
        <w:gridCol w:w="872"/>
        <w:gridCol w:w="997"/>
        <w:gridCol w:w="1067"/>
        <w:gridCol w:w="1167"/>
        <w:gridCol w:w="486"/>
      </w:tblGrid>
      <w:tr w:rsidR="00BC689F" w:rsidRPr="0096622F" w:rsidTr="0040229D">
        <w:tc>
          <w:tcPr>
            <w:tcW w:w="0" w:type="auto"/>
            <w:tcBorders>
              <w:top w:val="nil"/>
              <w:left w:val="nil"/>
              <w:bottom w:val="single" w:sz="4" w:space="0" w:color="000000" w:themeColor="text1"/>
              <w:right w:val="nil"/>
            </w:tcBorders>
            <w:vAlign w:val="bottom"/>
          </w:tcPr>
          <w:p w:rsidR="001A0A83" w:rsidRPr="0096622F" w:rsidRDefault="001A0A83" w:rsidP="00CB6E93">
            <w:pPr>
              <w:rPr>
                <w:rFonts w:cs="Times New Roman"/>
                <w:b/>
                <w:color w:val="000000"/>
                <w:sz w:val="18"/>
                <w:szCs w:val="20"/>
              </w:rPr>
            </w:pPr>
          </w:p>
        </w:tc>
        <w:tc>
          <w:tcPr>
            <w:tcW w:w="0" w:type="auto"/>
            <w:tcBorders>
              <w:top w:val="nil"/>
              <w:left w:val="nil"/>
              <w:right w:val="nil"/>
            </w:tcBorders>
            <w:vAlign w:val="bottom"/>
          </w:tcPr>
          <w:p w:rsidR="001A0A83" w:rsidRPr="0096622F" w:rsidRDefault="001A0A83" w:rsidP="00CB6E93">
            <w:pPr>
              <w:rPr>
                <w:rFonts w:cs="Times New Roman"/>
                <w:b/>
                <w:color w:val="000000"/>
                <w:sz w:val="18"/>
                <w:szCs w:val="20"/>
              </w:rPr>
            </w:pPr>
          </w:p>
        </w:tc>
        <w:tc>
          <w:tcPr>
            <w:tcW w:w="1164" w:type="dxa"/>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Intercept</w:t>
            </w:r>
          </w:p>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(a0)</w:t>
            </w:r>
          </w:p>
        </w:tc>
        <w:tc>
          <w:tcPr>
            <w:tcW w:w="1018" w:type="dxa"/>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LN_Q</w:t>
            </w:r>
          </w:p>
          <w:p w:rsidR="001A0A83" w:rsidRPr="0096622F" w:rsidRDefault="001A0A83" w:rsidP="00117717">
            <w:pPr>
              <w:jc w:val="center"/>
              <w:rPr>
                <w:rFonts w:cs="Times New Roman"/>
                <w:b/>
                <w:color w:val="000000"/>
                <w:sz w:val="18"/>
                <w:szCs w:val="20"/>
              </w:rPr>
            </w:pPr>
            <w:r w:rsidRPr="0096622F">
              <w:rPr>
                <w:rFonts w:cs="Times New Roman"/>
                <w:b/>
                <w:color w:val="000000"/>
                <w:sz w:val="18"/>
                <w:szCs w:val="20"/>
              </w:rPr>
              <w:t>(a1)</w:t>
            </w:r>
            <w:r w:rsidRPr="0096622F">
              <w:rPr>
                <w:rStyle w:val="FootnoteReference"/>
                <w:rFonts w:cs="Times New Roman"/>
                <w:b/>
                <w:color w:val="000000"/>
                <w:sz w:val="18"/>
                <w:szCs w:val="20"/>
              </w:rPr>
              <w:t xml:space="preserve"> </w:t>
            </w:r>
          </w:p>
        </w:tc>
        <w:tc>
          <w:tcPr>
            <w:tcW w:w="0" w:type="auto"/>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LN_Q</w:t>
            </w:r>
            <w:r w:rsidRPr="0096622F">
              <w:rPr>
                <w:rFonts w:cs="Times New Roman"/>
                <w:b/>
                <w:color w:val="000000"/>
                <w:sz w:val="18"/>
                <w:szCs w:val="20"/>
                <w:vertAlign w:val="superscript"/>
              </w:rPr>
              <w:t>2</w:t>
            </w:r>
          </w:p>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(a2)</w:t>
            </w:r>
          </w:p>
        </w:tc>
        <w:tc>
          <w:tcPr>
            <w:tcW w:w="0" w:type="auto"/>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SIN_DAY</w:t>
            </w:r>
          </w:p>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(a3)</w:t>
            </w:r>
          </w:p>
        </w:tc>
        <w:tc>
          <w:tcPr>
            <w:tcW w:w="0" w:type="auto"/>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COS_DAY</w:t>
            </w:r>
          </w:p>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(a4)</w:t>
            </w:r>
          </w:p>
        </w:tc>
        <w:tc>
          <w:tcPr>
            <w:tcW w:w="0" w:type="auto"/>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DEC_TIME</w:t>
            </w:r>
          </w:p>
          <w:p w:rsidR="001A0A83" w:rsidRPr="0096622F" w:rsidRDefault="001A0A83" w:rsidP="00117717">
            <w:pPr>
              <w:jc w:val="center"/>
              <w:rPr>
                <w:rFonts w:cs="Times New Roman"/>
                <w:b/>
                <w:color w:val="000000"/>
                <w:sz w:val="18"/>
                <w:szCs w:val="20"/>
              </w:rPr>
            </w:pPr>
            <w:r w:rsidRPr="0096622F">
              <w:rPr>
                <w:rFonts w:cs="Times New Roman"/>
                <w:b/>
                <w:color w:val="000000"/>
                <w:sz w:val="18"/>
                <w:szCs w:val="20"/>
              </w:rPr>
              <w:t>(a5)</w:t>
            </w:r>
          </w:p>
        </w:tc>
        <w:tc>
          <w:tcPr>
            <w:tcW w:w="0" w:type="auto"/>
            <w:tcBorders>
              <w:top w:val="nil"/>
              <w:left w:val="nil"/>
              <w:right w:val="nil"/>
            </w:tcBorders>
            <w:vAlign w:val="center"/>
          </w:tcPr>
          <w:p w:rsidR="001A0A83" w:rsidRPr="0096622F" w:rsidRDefault="001A0A83" w:rsidP="00CB6E93">
            <w:pPr>
              <w:jc w:val="center"/>
              <w:rPr>
                <w:rFonts w:cs="Times New Roman"/>
                <w:b/>
                <w:color w:val="000000"/>
                <w:sz w:val="18"/>
                <w:szCs w:val="20"/>
              </w:rPr>
            </w:pPr>
            <w:r w:rsidRPr="0096622F">
              <w:rPr>
                <w:rFonts w:cs="Times New Roman"/>
                <w:b/>
                <w:color w:val="000000"/>
                <w:sz w:val="18"/>
                <w:szCs w:val="20"/>
              </w:rPr>
              <w:t>N</w:t>
            </w:r>
          </w:p>
        </w:tc>
      </w:tr>
      <w:tr w:rsidR="00632BA4" w:rsidRPr="0096622F" w:rsidTr="0040229D">
        <w:tc>
          <w:tcPr>
            <w:tcW w:w="0" w:type="auto"/>
            <w:tcBorders>
              <w:left w:val="nil"/>
              <w:bottom w:val="nil"/>
            </w:tcBorders>
            <w:vAlign w:val="bottom"/>
          </w:tcPr>
          <w:p w:rsidR="00632BA4" w:rsidRPr="0096622F" w:rsidRDefault="00632BA4" w:rsidP="00CB6E93">
            <w:pPr>
              <w:rPr>
                <w:rFonts w:cs="Times New Roman"/>
                <w:b/>
                <w:color w:val="000000"/>
                <w:sz w:val="18"/>
                <w:szCs w:val="22"/>
              </w:rPr>
            </w:pPr>
            <w:r w:rsidRPr="0096622F">
              <w:rPr>
                <w:rFonts w:cs="Times New Roman"/>
                <w:b/>
                <w:color w:val="000000"/>
                <w:sz w:val="18"/>
                <w:szCs w:val="22"/>
              </w:rPr>
              <w:t>LN_TP</w:t>
            </w:r>
          </w:p>
        </w:tc>
        <w:tc>
          <w:tcPr>
            <w:tcW w:w="0" w:type="auto"/>
            <w:vAlign w:val="bottom"/>
          </w:tcPr>
          <w:p w:rsidR="00632BA4" w:rsidRPr="0096622F" w:rsidRDefault="00632BA4" w:rsidP="006B5BF1">
            <w:pPr>
              <w:rPr>
                <w:rFonts w:cs="Times New Roman"/>
                <w:b/>
                <w:color w:val="000000"/>
                <w:sz w:val="18"/>
                <w:szCs w:val="20"/>
              </w:rPr>
            </w:pPr>
            <w:r w:rsidRPr="0096622F">
              <w:rPr>
                <w:rFonts w:cs="Times New Roman"/>
                <w:b/>
                <w:color w:val="000000"/>
                <w:sz w:val="18"/>
                <w:szCs w:val="20"/>
              </w:rPr>
              <w:t>Coefficient</w:t>
            </w:r>
          </w:p>
          <w:p w:rsidR="00632BA4" w:rsidRPr="0096622F" w:rsidRDefault="00632BA4" w:rsidP="006B5BF1">
            <w:pPr>
              <w:rPr>
                <w:rFonts w:cs="Times New Roman"/>
                <w:b/>
                <w:color w:val="000000"/>
                <w:sz w:val="18"/>
                <w:szCs w:val="20"/>
              </w:rPr>
            </w:pPr>
            <w:r w:rsidRPr="0096622F">
              <w:rPr>
                <w:rFonts w:cs="Times New Roman"/>
                <w:b/>
                <w:color w:val="000000"/>
                <w:sz w:val="18"/>
                <w:szCs w:val="20"/>
              </w:rPr>
              <w:t>(a0 to a5)</w:t>
            </w:r>
          </w:p>
        </w:tc>
        <w:tc>
          <w:tcPr>
            <w:tcW w:w="1164" w:type="dxa"/>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-1.82223</w:t>
            </w:r>
          </w:p>
        </w:tc>
        <w:tc>
          <w:tcPr>
            <w:tcW w:w="1018" w:type="dxa"/>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0.24218</w:t>
            </w:r>
          </w:p>
        </w:tc>
        <w:tc>
          <w:tcPr>
            <w:tcW w:w="0" w:type="auto"/>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0.03570</w:t>
            </w:r>
          </w:p>
        </w:tc>
        <w:tc>
          <w:tcPr>
            <w:tcW w:w="0" w:type="auto"/>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0.30594</w:t>
            </w:r>
          </w:p>
        </w:tc>
        <w:tc>
          <w:tcPr>
            <w:tcW w:w="0" w:type="auto"/>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0.06600</w:t>
            </w:r>
          </w:p>
        </w:tc>
        <w:tc>
          <w:tcPr>
            <w:tcW w:w="0" w:type="auto"/>
            <w:vAlign w:val="bottom"/>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-0.04297</w:t>
            </w:r>
          </w:p>
        </w:tc>
        <w:tc>
          <w:tcPr>
            <w:tcW w:w="0" w:type="auto"/>
            <w:vAlign w:val="bottom"/>
          </w:tcPr>
          <w:p w:rsidR="00632BA4" w:rsidRPr="0096622F" w:rsidRDefault="00632BA4" w:rsidP="00632BA4">
            <w:pPr>
              <w:rPr>
                <w:rFonts w:cs="Times New Roman"/>
                <w:color w:val="000000"/>
                <w:sz w:val="18"/>
                <w:szCs w:val="22"/>
              </w:rPr>
            </w:pPr>
            <w:r w:rsidRPr="0096622F">
              <w:rPr>
                <w:rFonts w:cs="Times New Roman"/>
                <w:color w:val="000000"/>
                <w:sz w:val="18"/>
                <w:szCs w:val="22"/>
              </w:rPr>
              <w:t>269</w:t>
            </w:r>
          </w:p>
        </w:tc>
      </w:tr>
      <w:tr w:rsidR="00632BA4" w:rsidRPr="0096622F" w:rsidTr="0040229D">
        <w:tc>
          <w:tcPr>
            <w:tcW w:w="0" w:type="auto"/>
            <w:tcBorders>
              <w:top w:val="nil"/>
              <w:left w:val="nil"/>
              <w:bottom w:val="nil"/>
            </w:tcBorders>
            <w:vAlign w:val="bottom"/>
          </w:tcPr>
          <w:p w:rsidR="00632BA4" w:rsidRPr="0096622F" w:rsidRDefault="00632BA4" w:rsidP="00CB6E93">
            <w:pPr>
              <w:rPr>
                <w:rFonts w:cs="Times New Roman"/>
                <w:b/>
                <w:color w:val="000000"/>
                <w:sz w:val="18"/>
                <w:szCs w:val="22"/>
              </w:rPr>
            </w:pPr>
          </w:p>
        </w:tc>
        <w:tc>
          <w:tcPr>
            <w:tcW w:w="0" w:type="auto"/>
            <w:vAlign w:val="bottom"/>
          </w:tcPr>
          <w:p w:rsidR="00632BA4" w:rsidRPr="0096622F" w:rsidRDefault="00632BA4" w:rsidP="006B5BF1">
            <w:pPr>
              <w:rPr>
                <w:rFonts w:cs="Times New Roman"/>
                <w:b/>
                <w:color w:val="000000"/>
                <w:sz w:val="18"/>
                <w:szCs w:val="20"/>
              </w:rPr>
            </w:pPr>
            <w:r w:rsidRPr="0096622F">
              <w:rPr>
                <w:rFonts w:cs="Times New Roman"/>
                <w:b/>
                <w:color w:val="000000"/>
                <w:sz w:val="18"/>
                <w:szCs w:val="20"/>
              </w:rPr>
              <w:t>t-value</w:t>
            </w:r>
          </w:p>
        </w:tc>
        <w:tc>
          <w:tcPr>
            <w:tcW w:w="1164" w:type="dxa"/>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-34.71</w:t>
            </w:r>
          </w:p>
        </w:tc>
        <w:tc>
          <w:tcPr>
            <w:tcW w:w="1018" w:type="dxa"/>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10.83</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7.88</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4.46</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1.20</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-3.14</w:t>
            </w:r>
          </w:p>
        </w:tc>
        <w:tc>
          <w:tcPr>
            <w:tcW w:w="0" w:type="auto"/>
            <w:vAlign w:val="bottom"/>
          </w:tcPr>
          <w:p w:rsidR="00632BA4" w:rsidRPr="0096622F" w:rsidRDefault="00632BA4" w:rsidP="006B5BF1">
            <w:pPr>
              <w:rPr>
                <w:rFonts w:cs="Times New Roman"/>
                <w:color w:val="000000"/>
                <w:sz w:val="18"/>
                <w:szCs w:val="22"/>
              </w:rPr>
            </w:pPr>
          </w:p>
        </w:tc>
      </w:tr>
      <w:tr w:rsidR="00632BA4" w:rsidRPr="0096622F" w:rsidTr="0040229D">
        <w:tc>
          <w:tcPr>
            <w:tcW w:w="0" w:type="auto"/>
            <w:tcBorders>
              <w:top w:val="nil"/>
              <w:left w:val="nil"/>
              <w:bottom w:val="nil"/>
            </w:tcBorders>
            <w:vAlign w:val="bottom"/>
          </w:tcPr>
          <w:p w:rsidR="00632BA4" w:rsidRPr="0096622F" w:rsidRDefault="00632BA4" w:rsidP="00CB6E93">
            <w:pPr>
              <w:rPr>
                <w:rFonts w:cs="Times New Roman"/>
                <w:b/>
                <w:color w:val="000000"/>
                <w:sz w:val="18"/>
                <w:szCs w:val="22"/>
              </w:rPr>
            </w:pPr>
          </w:p>
        </w:tc>
        <w:tc>
          <w:tcPr>
            <w:tcW w:w="0" w:type="auto"/>
            <w:vAlign w:val="bottom"/>
          </w:tcPr>
          <w:p w:rsidR="00632BA4" w:rsidRPr="0096622F" w:rsidRDefault="00632BA4" w:rsidP="006B5BF1">
            <w:pPr>
              <w:rPr>
                <w:rFonts w:cs="Times New Roman"/>
                <w:b/>
                <w:color w:val="000000"/>
                <w:sz w:val="18"/>
                <w:szCs w:val="20"/>
              </w:rPr>
            </w:pPr>
            <w:r w:rsidRPr="0096622F">
              <w:rPr>
                <w:rFonts w:cs="Times New Roman"/>
                <w:b/>
                <w:color w:val="000000"/>
                <w:sz w:val="18"/>
                <w:szCs w:val="20"/>
              </w:rPr>
              <w:t>std error</w:t>
            </w:r>
          </w:p>
        </w:tc>
        <w:tc>
          <w:tcPr>
            <w:tcW w:w="1164" w:type="dxa"/>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0.0525</w:t>
            </w:r>
          </w:p>
        </w:tc>
        <w:tc>
          <w:tcPr>
            <w:tcW w:w="1018" w:type="dxa"/>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0.0224</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0.0045</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0.0687</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0.0552</w:t>
            </w:r>
          </w:p>
        </w:tc>
        <w:tc>
          <w:tcPr>
            <w:tcW w:w="0" w:type="auto"/>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0.0137</w:t>
            </w:r>
          </w:p>
        </w:tc>
        <w:tc>
          <w:tcPr>
            <w:tcW w:w="0" w:type="auto"/>
            <w:vAlign w:val="bottom"/>
          </w:tcPr>
          <w:p w:rsidR="00632BA4" w:rsidRPr="0096622F" w:rsidRDefault="00632BA4" w:rsidP="006B5BF1">
            <w:pPr>
              <w:rPr>
                <w:rFonts w:cs="Times New Roman"/>
                <w:color w:val="000000"/>
                <w:sz w:val="18"/>
                <w:szCs w:val="22"/>
              </w:rPr>
            </w:pPr>
          </w:p>
        </w:tc>
      </w:tr>
      <w:tr w:rsidR="00632BA4" w:rsidRPr="0096622F" w:rsidTr="0040229D">
        <w:tc>
          <w:tcPr>
            <w:tcW w:w="0" w:type="auto"/>
            <w:tcBorders>
              <w:top w:val="nil"/>
              <w:left w:val="nil"/>
              <w:bottom w:val="nil"/>
            </w:tcBorders>
            <w:vAlign w:val="bottom"/>
          </w:tcPr>
          <w:p w:rsidR="00632BA4" w:rsidRPr="0096622F" w:rsidRDefault="00632BA4" w:rsidP="00CB6E93">
            <w:pPr>
              <w:rPr>
                <w:rFonts w:cs="Times New Roman"/>
                <w:b/>
                <w:color w:val="000000"/>
                <w:sz w:val="18"/>
                <w:szCs w:val="22"/>
              </w:rPr>
            </w:pPr>
          </w:p>
        </w:tc>
        <w:tc>
          <w:tcPr>
            <w:tcW w:w="0" w:type="auto"/>
            <w:tcBorders>
              <w:bottom w:val="single" w:sz="4" w:space="0" w:color="000000" w:themeColor="text1"/>
            </w:tcBorders>
            <w:vAlign w:val="bottom"/>
          </w:tcPr>
          <w:p w:rsidR="00632BA4" w:rsidRPr="0096622F" w:rsidRDefault="00632BA4" w:rsidP="006B5BF1">
            <w:pPr>
              <w:rPr>
                <w:rFonts w:cs="Times New Roman"/>
                <w:b/>
                <w:i/>
                <w:color w:val="000000"/>
                <w:sz w:val="18"/>
                <w:szCs w:val="20"/>
              </w:rPr>
            </w:pPr>
            <w:r w:rsidRPr="0096622F">
              <w:rPr>
                <w:rFonts w:cs="Times New Roman"/>
                <w:b/>
                <w:i/>
                <w:color w:val="000000"/>
                <w:sz w:val="18"/>
                <w:szCs w:val="20"/>
              </w:rPr>
              <w:t>P value</w:t>
            </w:r>
          </w:p>
        </w:tc>
        <w:tc>
          <w:tcPr>
            <w:tcW w:w="1164" w:type="dxa"/>
            <w:tcBorders>
              <w:bottom w:val="single" w:sz="4" w:space="0" w:color="000000" w:themeColor="text1"/>
            </w:tcBorders>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&lt;</w:t>
            </w:r>
            <w:r w:rsidR="00A519D9" w:rsidRPr="0096622F">
              <w:rPr>
                <w:rFonts w:ascii="Arial" w:hAnsi="Arial" w:cs="Arial"/>
                <w:color w:val="000000"/>
                <w:sz w:val="18"/>
                <w:szCs w:val="22"/>
              </w:rPr>
              <w:t>0</w:t>
            </w:r>
            <w:r w:rsidRPr="0096622F">
              <w:rPr>
                <w:rFonts w:ascii="Arial" w:hAnsi="Arial" w:cs="Arial"/>
                <w:color w:val="000000"/>
                <w:sz w:val="18"/>
                <w:szCs w:val="22"/>
              </w:rPr>
              <w:t>.0001</w:t>
            </w:r>
          </w:p>
        </w:tc>
        <w:tc>
          <w:tcPr>
            <w:tcW w:w="1018" w:type="dxa"/>
            <w:tcBorders>
              <w:bottom w:val="single" w:sz="4" w:space="0" w:color="000000" w:themeColor="text1"/>
            </w:tcBorders>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&lt;</w:t>
            </w:r>
            <w:r w:rsidR="00A519D9" w:rsidRPr="0096622F">
              <w:rPr>
                <w:rFonts w:ascii="Arial" w:hAnsi="Arial" w:cs="Arial"/>
                <w:color w:val="000000"/>
                <w:sz w:val="18"/>
                <w:szCs w:val="22"/>
              </w:rPr>
              <w:t>0</w:t>
            </w:r>
            <w:r w:rsidRPr="0096622F">
              <w:rPr>
                <w:rFonts w:ascii="Arial" w:hAnsi="Arial" w:cs="Arial"/>
                <w:color w:val="000000"/>
                <w:sz w:val="18"/>
                <w:szCs w:val="22"/>
              </w:rPr>
              <w:t>.0001</w:t>
            </w:r>
          </w:p>
        </w:tc>
        <w:tc>
          <w:tcPr>
            <w:tcW w:w="0" w:type="auto"/>
            <w:tcBorders>
              <w:bottom w:val="single" w:sz="4" w:space="0" w:color="000000" w:themeColor="text1"/>
            </w:tcBorders>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&lt;</w:t>
            </w:r>
            <w:r w:rsidR="00A519D9" w:rsidRPr="0096622F">
              <w:rPr>
                <w:rFonts w:ascii="Arial" w:hAnsi="Arial" w:cs="Arial"/>
                <w:color w:val="000000"/>
                <w:sz w:val="18"/>
                <w:szCs w:val="22"/>
              </w:rPr>
              <w:t>0</w:t>
            </w:r>
            <w:r w:rsidRPr="0096622F">
              <w:rPr>
                <w:rFonts w:ascii="Arial" w:hAnsi="Arial" w:cs="Arial"/>
                <w:color w:val="000000"/>
                <w:sz w:val="18"/>
                <w:szCs w:val="22"/>
              </w:rPr>
              <w:t>.0001</w:t>
            </w:r>
          </w:p>
        </w:tc>
        <w:tc>
          <w:tcPr>
            <w:tcW w:w="0" w:type="auto"/>
            <w:tcBorders>
              <w:bottom w:val="single" w:sz="4" w:space="0" w:color="000000" w:themeColor="text1"/>
            </w:tcBorders>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&lt;</w:t>
            </w:r>
            <w:r w:rsidR="00A519D9" w:rsidRPr="0096622F">
              <w:rPr>
                <w:rFonts w:ascii="Arial" w:hAnsi="Arial" w:cs="Arial"/>
                <w:color w:val="000000"/>
                <w:sz w:val="18"/>
                <w:szCs w:val="22"/>
              </w:rPr>
              <w:t>0</w:t>
            </w:r>
            <w:r w:rsidRPr="0096622F">
              <w:rPr>
                <w:rFonts w:ascii="Arial" w:hAnsi="Arial" w:cs="Arial"/>
                <w:color w:val="000000"/>
                <w:sz w:val="18"/>
                <w:szCs w:val="22"/>
              </w:rPr>
              <w:t>.0001</w:t>
            </w:r>
          </w:p>
        </w:tc>
        <w:tc>
          <w:tcPr>
            <w:tcW w:w="0" w:type="auto"/>
            <w:tcBorders>
              <w:bottom w:val="single" w:sz="4" w:space="0" w:color="000000" w:themeColor="text1"/>
            </w:tcBorders>
          </w:tcPr>
          <w:p w:rsidR="00632BA4" w:rsidRPr="0096622F" w:rsidRDefault="00632BA4" w:rsidP="00A519D9">
            <w:pPr>
              <w:jc w:val="right"/>
              <w:rPr>
                <w:rFonts w:ascii="Arial" w:hAnsi="Arial" w:cs="Arial"/>
                <w:color w:val="000000"/>
                <w:sz w:val="18"/>
                <w:szCs w:val="22"/>
              </w:rPr>
            </w:pPr>
            <w:r w:rsidRPr="0096622F">
              <w:rPr>
                <w:rFonts w:ascii="Arial" w:hAnsi="Arial" w:cs="Arial"/>
                <w:color w:val="000000"/>
                <w:sz w:val="18"/>
                <w:szCs w:val="22"/>
              </w:rPr>
              <w:t>0.2330</w:t>
            </w:r>
          </w:p>
        </w:tc>
        <w:tc>
          <w:tcPr>
            <w:tcW w:w="0" w:type="auto"/>
            <w:tcBorders>
              <w:bottom w:val="single" w:sz="4" w:space="0" w:color="000000" w:themeColor="text1"/>
            </w:tcBorders>
          </w:tcPr>
          <w:p w:rsidR="00632BA4" w:rsidRPr="0096622F" w:rsidRDefault="00632BA4" w:rsidP="00A519D9">
            <w:pPr>
              <w:jc w:val="right"/>
              <w:rPr>
                <w:rFonts w:ascii="Arial" w:hAnsi="Arial" w:cs="Arial"/>
                <w:b/>
                <w:color w:val="000000"/>
                <w:sz w:val="18"/>
                <w:szCs w:val="22"/>
              </w:rPr>
            </w:pPr>
            <w:r w:rsidRPr="0096622F">
              <w:rPr>
                <w:rFonts w:ascii="Arial" w:hAnsi="Arial" w:cs="Arial"/>
                <w:b/>
                <w:color w:val="000000"/>
                <w:sz w:val="18"/>
                <w:szCs w:val="22"/>
              </w:rPr>
              <w:t>0.0019</w:t>
            </w:r>
          </w:p>
        </w:tc>
        <w:tc>
          <w:tcPr>
            <w:tcW w:w="0" w:type="auto"/>
            <w:tcBorders>
              <w:bottom w:val="single" w:sz="4" w:space="0" w:color="000000" w:themeColor="text1"/>
            </w:tcBorders>
            <w:vAlign w:val="bottom"/>
          </w:tcPr>
          <w:p w:rsidR="00632BA4" w:rsidRPr="0096622F" w:rsidRDefault="00632BA4" w:rsidP="006B5BF1">
            <w:pPr>
              <w:rPr>
                <w:rFonts w:cs="Times New Roman"/>
                <w:color w:val="000000"/>
                <w:sz w:val="18"/>
                <w:szCs w:val="22"/>
              </w:rPr>
            </w:pPr>
          </w:p>
        </w:tc>
      </w:tr>
      <w:tr w:rsidR="00BC689F" w:rsidRPr="0096622F" w:rsidTr="0040229D">
        <w:tc>
          <w:tcPr>
            <w:tcW w:w="0" w:type="auto"/>
            <w:tcBorders>
              <w:top w:val="nil"/>
              <w:left w:val="nil"/>
              <w:bottom w:val="single" w:sz="4" w:space="0" w:color="000000" w:themeColor="text1"/>
              <w:right w:val="nil"/>
            </w:tcBorders>
            <w:vAlign w:val="bottom"/>
          </w:tcPr>
          <w:p w:rsidR="00896828" w:rsidRPr="0096622F" w:rsidRDefault="00896828" w:rsidP="00CB6E93">
            <w:pPr>
              <w:rPr>
                <w:rFonts w:cs="Times New Roman"/>
                <w:b/>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rPr>
                <w:rFonts w:cs="Times New Roman"/>
                <w:b/>
                <w:color w:val="000000"/>
                <w:sz w:val="18"/>
                <w:szCs w:val="20"/>
              </w:rPr>
            </w:pPr>
          </w:p>
        </w:tc>
        <w:tc>
          <w:tcPr>
            <w:tcW w:w="1164" w:type="dxa"/>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1018" w:type="dxa"/>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bottom w:val="single" w:sz="4" w:space="0" w:color="000000" w:themeColor="text1"/>
              <w:right w:val="nil"/>
            </w:tcBorders>
            <w:vAlign w:val="bottom"/>
          </w:tcPr>
          <w:p w:rsidR="00896828" w:rsidRPr="0096622F" w:rsidRDefault="00896828" w:rsidP="006B5BF1">
            <w:pPr>
              <w:rPr>
                <w:rFonts w:cs="Times New Roman"/>
                <w:color w:val="000000"/>
                <w:sz w:val="18"/>
                <w:szCs w:val="22"/>
              </w:rPr>
            </w:pPr>
          </w:p>
        </w:tc>
      </w:tr>
      <w:tr w:rsidR="00A519D9" w:rsidRPr="0096622F" w:rsidTr="0040229D">
        <w:tc>
          <w:tcPr>
            <w:tcW w:w="0" w:type="auto"/>
            <w:tcBorders>
              <w:top w:val="single" w:sz="4" w:space="0" w:color="000000" w:themeColor="text1"/>
              <w:left w:val="nil"/>
              <w:bottom w:val="nil"/>
              <w:right w:val="single" w:sz="4" w:space="0" w:color="000000" w:themeColor="text1"/>
            </w:tcBorders>
            <w:vAlign w:val="bottom"/>
          </w:tcPr>
          <w:p w:rsidR="00A519D9" w:rsidRPr="0096622F" w:rsidRDefault="00A519D9" w:rsidP="00CB6E93">
            <w:pPr>
              <w:rPr>
                <w:rFonts w:cs="Times New Roman"/>
                <w:b/>
                <w:color w:val="000000"/>
                <w:sz w:val="18"/>
                <w:szCs w:val="22"/>
              </w:rPr>
            </w:pPr>
            <w:r w:rsidRPr="0096622F">
              <w:rPr>
                <w:rFonts w:cs="Times New Roman"/>
                <w:b/>
                <w:color w:val="000000"/>
                <w:sz w:val="18"/>
                <w:szCs w:val="22"/>
              </w:rPr>
              <w:t>LN_TSS</w:t>
            </w: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b/>
                <w:color w:val="000000"/>
                <w:sz w:val="18"/>
                <w:szCs w:val="20"/>
              </w:rPr>
            </w:pPr>
            <w:r w:rsidRPr="0096622F">
              <w:rPr>
                <w:rFonts w:cs="Times New Roman"/>
                <w:b/>
                <w:color w:val="000000"/>
                <w:sz w:val="18"/>
                <w:szCs w:val="20"/>
              </w:rPr>
              <w:t>Coefficient</w:t>
            </w:r>
          </w:p>
          <w:p w:rsidR="00A519D9" w:rsidRPr="0096622F" w:rsidRDefault="00A519D9" w:rsidP="006B5BF1">
            <w:pPr>
              <w:rPr>
                <w:rFonts w:cs="Times New Roman"/>
                <w:b/>
                <w:color w:val="000000"/>
                <w:sz w:val="18"/>
                <w:szCs w:val="20"/>
              </w:rPr>
            </w:pPr>
            <w:r w:rsidRPr="0096622F">
              <w:rPr>
                <w:rFonts w:cs="Times New Roman"/>
                <w:b/>
                <w:color w:val="000000"/>
                <w:sz w:val="18"/>
                <w:szCs w:val="20"/>
              </w:rPr>
              <w:t>(a0 to a5)</w:t>
            </w:r>
          </w:p>
        </w:tc>
        <w:tc>
          <w:tcPr>
            <w:tcW w:w="1164" w:type="dxa"/>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2.55502</w:t>
            </w:r>
          </w:p>
        </w:tc>
        <w:tc>
          <w:tcPr>
            <w:tcW w:w="1018" w:type="dxa"/>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0.58634</w:t>
            </w:r>
          </w:p>
        </w:tc>
        <w:tc>
          <w:tcPr>
            <w:tcW w:w="0" w:type="auto"/>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0.06512</w:t>
            </w:r>
          </w:p>
        </w:tc>
        <w:tc>
          <w:tcPr>
            <w:tcW w:w="0" w:type="auto"/>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0.23070</w:t>
            </w:r>
          </w:p>
        </w:tc>
        <w:tc>
          <w:tcPr>
            <w:tcW w:w="0" w:type="auto"/>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0.47879</w:t>
            </w:r>
          </w:p>
        </w:tc>
        <w:tc>
          <w:tcPr>
            <w:tcW w:w="0" w:type="auto"/>
            <w:tcBorders>
              <w:left w:val="single" w:sz="4" w:space="0" w:color="000000" w:themeColor="text1"/>
              <w:right w:val="single" w:sz="4" w:space="0" w:color="000000" w:themeColor="text1"/>
            </w:tcBorders>
            <w:vAlign w:val="bottom"/>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-0.07205</w:t>
            </w:r>
          </w:p>
        </w:tc>
        <w:tc>
          <w:tcPr>
            <w:tcW w:w="0" w:type="auto"/>
            <w:tcBorders>
              <w:left w:val="single" w:sz="4" w:space="0" w:color="000000" w:themeColor="text1"/>
              <w:right w:val="single" w:sz="4" w:space="0" w:color="000000" w:themeColor="text1"/>
            </w:tcBorders>
            <w:vAlign w:val="bottom"/>
          </w:tcPr>
          <w:p w:rsidR="00A519D9" w:rsidRPr="0096622F" w:rsidRDefault="00A519D9" w:rsidP="00A519D9">
            <w:pPr>
              <w:rPr>
                <w:rFonts w:cs="Times New Roman"/>
                <w:color w:val="000000"/>
                <w:sz w:val="18"/>
                <w:szCs w:val="22"/>
              </w:rPr>
            </w:pPr>
            <w:r w:rsidRPr="0096622F">
              <w:rPr>
                <w:rFonts w:cs="Times New Roman"/>
                <w:color w:val="000000"/>
                <w:sz w:val="18"/>
                <w:szCs w:val="22"/>
              </w:rPr>
              <w:t>269</w:t>
            </w:r>
          </w:p>
        </w:tc>
      </w:tr>
      <w:tr w:rsidR="00A519D9" w:rsidRPr="0096622F" w:rsidTr="0040229D">
        <w:tc>
          <w:tcPr>
            <w:tcW w:w="0" w:type="auto"/>
            <w:tcBorders>
              <w:top w:val="nil"/>
              <w:left w:val="nil"/>
              <w:bottom w:val="nil"/>
              <w:right w:val="single" w:sz="4" w:space="0" w:color="000000" w:themeColor="text1"/>
            </w:tcBorders>
            <w:vAlign w:val="bottom"/>
          </w:tcPr>
          <w:p w:rsidR="00A519D9" w:rsidRPr="0096622F" w:rsidRDefault="00A519D9" w:rsidP="00CB6E93">
            <w:pPr>
              <w:rPr>
                <w:rFonts w:cs="Times New Roman"/>
                <w:b/>
                <w:color w:val="000000"/>
                <w:sz w:val="18"/>
                <w:szCs w:val="22"/>
              </w:rPr>
            </w:pP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b/>
                <w:color w:val="000000"/>
                <w:sz w:val="18"/>
                <w:szCs w:val="20"/>
              </w:rPr>
            </w:pPr>
            <w:r w:rsidRPr="0096622F">
              <w:rPr>
                <w:rFonts w:cs="Times New Roman"/>
                <w:b/>
                <w:color w:val="000000"/>
                <w:sz w:val="18"/>
                <w:szCs w:val="20"/>
              </w:rPr>
              <w:t>t-value</w:t>
            </w:r>
          </w:p>
        </w:tc>
        <w:tc>
          <w:tcPr>
            <w:tcW w:w="1164"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36.88</w:t>
            </w:r>
          </w:p>
        </w:tc>
        <w:tc>
          <w:tcPr>
            <w:tcW w:w="1018"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19.87</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10.89</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2.55</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6.57</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-3.98</w:t>
            </w: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color w:val="000000"/>
                <w:sz w:val="18"/>
                <w:szCs w:val="22"/>
              </w:rPr>
            </w:pPr>
          </w:p>
        </w:tc>
      </w:tr>
      <w:tr w:rsidR="00A519D9" w:rsidRPr="0096622F" w:rsidTr="0040229D">
        <w:tc>
          <w:tcPr>
            <w:tcW w:w="0" w:type="auto"/>
            <w:tcBorders>
              <w:top w:val="nil"/>
              <w:left w:val="nil"/>
              <w:bottom w:val="nil"/>
              <w:right w:val="single" w:sz="4" w:space="0" w:color="000000" w:themeColor="text1"/>
            </w:tcBorders>
            <w:vAlign w:val="bottom"/>
          </w:tcPr>
          <w:p w:rsidR="00A519D9" w:rsidRPr="0096622F" w:rsidRDefault="00A519D9" w:rsidP="00CB6E93">
            <w:pPr>
              <w:rPr>
                <w:rFonts w:cs="Times New Roman"/>
                <w:b/>
                <w:color w:val="000000"/>
                <w:sz w:val="18"/>
                <w:szCs w:val="22"/>
              </w:rPr>
            </w:pP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b/>
                <w:color w:val="000000"/>
                <w:sz w:val="18"/>
                <w:szCs w:val="20"/>
              </w:rPr>
            </w:pPr>
            <w:r w:rsidRPr="0096622F">
              <w:rPr>
                <w:rFonts w:cs="Times New Roman"/>
                <w:b/>
                <w:color w:val="000000"/>
                <w:sz w:val="18"/>
                <w:szCs w:val="20"/>
              </w:rPr>
              <w:t>std error</w:t>
            </w:r>
          </w:p>
        </w:tc>
        <w:tc>
          <w:tcPr>
            <w:tcW w:w="1164"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0.0693</w:t>
            </w:r>
          </w:p>
        </w:tc>
        <w:tc>
          <w:tcPr>
            <w:tcW w:w="1018"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0.0295</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0.0060</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0.0906</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0.0729</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0.0181</w:t>
            </w: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color w:val="000000"/>
                <w:sz w:val="18"/>
                <w:szCs w:val="22"/>
              </w:rPr>
            </w:pPr>
          </w:p>
        </w:tc>
      </w:tr>
      <w:tr w:rsidR="00A519D9" w:rsidRPr="0096622F" w:rsidTr="0040229D">
        <w:tc>
          <w:tcPr>
            <w:tcW w:w="0" w:type="auto"/>
            <w:tcBorders>
              <w:top w:val="nil"/>
              <w:left w:val="nil"/>
              <w:bottom w:val="nil"/>
              <w:right w:val="single" w:sz="4" w:space="0" w:color="000000" w:themeColor="text1"/>
            </w:tcBorders>
            <w:vAlign w:val="bottom"/>
          </w:tcPr>
          <w:p w:rsidR="00A519D9" w:rsidRPr="0096622F" w:rsidRDefault="00A519D9" w:rsidP="00CB6E93">
            <w:pPr>
              <w:rPr>
                <w:rFonts w:cs="Times New Roman"/>
                <w:b/>
                <w:color w:val="000000"/>
                <w:sz w:val="18"/>
                <w:szCs w:val="22"/>
              </w:rPr>
            </w:pP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b/>
                <w:i/>
                <w:color w:val="000000"/>
                <w:sz w:val="18"/>
                <w:szCs w:val="20"/>
              </w:rPr>
            </w:pPr>
            <w:r w:rsidRPr="0096622F">
              <w:rPr>
                <w:rFonts w:cs="Times New Roman"/>
                <w:b/>
                <w:i/>
                <w:color w:val="000000"/>
                <w:sz w:val="18"/>
                <w:szCs w:val="20"/>
              </w:rPr>
              <w:t>P value</w:t>
            </w:r>
          </w:p>
        </w:tc>
        <w:tc>
          <w:tcPr>
            <w:tcW w:w="1164"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&lt;0.0001</w:t>
            </w:r>
          </w:p>
        </w:tc>
        <w:tc>
          <w:tcPr>
            <w:tcW w:w="1018" w:type="dxa"/>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&lt;0.0001</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&lt;0.0001</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0.0115</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color w:val="000000"/>
                <w:sz w:val="18"/>
                <w:szCs w:val="22"/>
              </w:rPr>
            </w:pPr>
            <w:r w:rsidRPr="0096622F">
              <w:rPr>
                <w:rFonts w:ascii="Arial" w:hAnsi="Arial" w:cs="Arial"/>
                <w:color w:val="000000"/>
                <w:sz w:val="18"/>
                <w:szCs w:val="22"/>
              </w:rPr>
              <w:t>&lt;0.0001</w:t>
            </w:r>
          </w:p>
        </w:tc>
        <w:tc>
          <w:tcPr>
            <w:tcW w:w="0" w:type="auto"/>
            <w:tcBorders>
              <w:left w:val="single" w:sz="4" w:space="0" w:color="000000" w:themeColor="text1"/>
              <w:right w:val="single" w:sz="4" w:space="0" w:color="000000" w:themeColor="text1"/>
            </w:tcBorders>
          </w:tcPr>
          <w:p w:rsidR="00A519D9" w:rsidRPr="0096622F" w:rsidRDefault="00A519D9" w:rsidP="00A519D9">
            <w:pPr>
              <w:jc w:val="right"/>
              <w:rPr>
                <w:rFonts w:ascii="Arial" w:hAnsi="Arial" w:cs="Arial"/>
                <w:b/>
                <w:color w:val="000000"/>
                <w:sz w:val="18"/>
                <w:szCs w:val="22"/>
              </w:rPr>
            </w:pPr>
            <w:r w:rsidRPr="0096622F">
              <w:rPr>
                <w:rFonts w:ascii="Arial" w:hAnsi="Arial" w:cs="Arial"/>
                <w:b/>
                <w:color w:val="000000"/>
                <w:sz w:val="18"/>
                <w:szCs w:val="22"/>
              </w:rPr>
              <w:t>&lt;0.0001</w:t>
            </w:r>
          </w:p>
        </w:tc>
        <w:tc>
          <w:tcPr>
            <w:tcW w:w="0" w:type="auto"/>
            <w:tcBorders>
              <w:left w:val="single" w:sz="4" w:space="0" w:color="000000" w:themeColor="text1"/>
              <w:right w:val="single" w:sz="4" w:space="0" w:color="000000" w:themeColor="text1"/>
            </w:tcBorders>
            <w:vAlign w:val="bottom"/>
          </w:tcPr>
          <w:p w:rsidR="00A519D9" w:rsidRPr="0096622F" w:rsidRDefault="00A519D9" w:rsidP="006B5BF1">
            <w:pPr>
              <w:rPr>
                <w:rFonts w:cs="Times New Roman"/>
                <w:color w:val="000000"/>
                <w:sz w:val="18"/>
                <w:szCs w:val="22"/>
              </w:rPr>
            </w:pPr>
          </w:p>
        </w:tc>
      </w:tr>
      <w:tr w:rsidR="00BC689F" w:rsidRPr="0096622F" w:rsidTr="0040229D">
        <w:tc>
          <w:tcPr>
            <w:tcW w:w="0" w:type="auto"/>
            <w:tcBorders>
              <w:top w:val="nil"/>
              <w:left w:val="nil"/>
              <w:bottom w:val="single" w:sz="4" w:space="0" w:color="000000" w:themeColor="text1"/>
              <w:right w:val="nil"/>
            </w:tcBorders>
            <w:vAlign w:val="bottom"/>
          </w:tcPr>
          <w:p w:rsidR="00896828" w:rsidRPr="0096622F" w:rsidRDefault="00896828" w:rsidP="00CB6E93">
            <w:pPr>
              <w:rPr>
                <w:rFonts w:cs="Times New Roman"/>
                <w:b/>
                <w:color w:val="000000"/>
                <w:sz w:val="18"/>
                <w:szCs w:val="22"/>
              </w:rPr>
            </w:pPr>
          </w:p>
        </w:tc>
        <w:tc>
          <w:tcPr>
            <w:tcW w:w="0" w:type="auto"/>
            <w:tcBorders>
              <w:left w:val="nil"/>
              <w:right w:val="nil"/>
            </w:tcBorders>
            <w:vAlign w:val="bottom"/>
          </w:tcPr>
          <w:p w:rsidR="00896828" w:rsidRPr="0096622F" w:rsidRDefault="00896828" w:rsidP="006B5BF1">
            <w:pPr>
              <w:rPr>
                <w:rFonts w:cs="Times New Roman"/>
                <w:b/>
                <w:color w:val="000000"/>
                <w:sz w:val="18"/>
                <w:szCs w:val="20"/>
              </w:rPr>
            </w:pPr>
          </w:p>
        </w:tc>
        <w:tc>
          <w:tcPr>
            <w:tcW w:w="1164" w:type="dxa"/>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1018" w:type="dxa"/>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right w:val="nil"/>
            </w:tcBorders>
            <w:vAlign w:val="bottom"/>
          </w:tcPr>
          <w:p w:rsidR="00896828" w:rsidRPr="0096622F" w:rsidRDefault="00896828" w:rsidP="006B5BF1">
            <w:pPr>
              <w:jc w:val="right"/>
              <w:rPr>
                <w:rFonts w:ascii="Calibri" w:hAnsi="Calibri"/>
                <w:color w:val="000000"/>
                <w:sz w:val="18"/>
                <w:szCs w:val="22"/>
              </w:rPr>
            </w:pPr>
          </w:p>
        </w:tc>
        <w:tc>
          <w:tcPr>
            <w:tcW w:w="0" w:type="auto"/>
            <w:tcBorders>
              <w:left w:val="nil"/>
              <w:right w:val="nil"/>
            </w:tcBorders>
            <w:vAlign w:val="bottom"/>
          </w:tcPr>
          <w:p w:rsidR="00896828" w:rsidRPr="0096622F" w:rsidRDefault="00896828" w:rsidP="006B5BF1">
            <w:pPr>
              <w:rPr>
                <w:rFonts w:cs="Times New Roman"/>
                <w:color w:val="000000"/>
                <w:sz w:val="18"/>
                <w:szCs w:val="22"/>
              </w:rPr>
            </w:pPr>
          </w:p>
        </w:tc>
      </w:tr>
      <w:tr w:rsidR="0040229D" w:rsidRPr="0096622F" w:rsidTr="0040229D">
        <w:tc>
          <w:tcPr>
            <w:tcW w:w="0" w:type="auto"/>
            <w:tcBorders>
              <w:top w:val="single" w:sz="4" w:space="0" w:color="000000" w:themeColor="text1"/>
              <w:left w:val="nil"/>
              <w:bottom w:val="nil"/>
            </w:tcBorders>
            <w:vAlign w:val="bottom"/>
          </w:tcPr>
          <w:p w:rsidR="0040229D" w:rsidRPr="0096622F" w:rsidRDefault="0040229D" w:rsidP="00CB6E93">
            <w:pPr>
              <w:rPr>
                <w:rFonts w:cs="Times New Roman"/>
                <w:b/>
                <w:color w:val="000000"/>
                <w:sz w:val="18"/>
                <w:szCs w:val="22"/>
              </w:rPr>
            </w:pPr>
            <w:r w:rsidRPr="0096622F">
              <w:rPr>
                <w:rFonts w:cs="Times New Roman"/>
                <w:b/>
                <w:color w:val="000000"/>
                <w:sz w:val="18"/>
                <w:szCs w:val="22"/>
              </w:rPr>
              <w:t>LN_DP</w:t>
            </w:r>
          </w:p>
        </w:tc>
        <w:tc>
          <w:tcPr>
            <w:tcW w:w="0" w:type="auto"/>
            <w:vAlign w:val="bottom"/>
          </w:tcPr>
          <w:p w:rsidR="0040229D" w:rsidRPr="0096622F" w:rsidRDefault="0040229D" w:rsidP="006B5BF1">
            <w:pPr>
              <w:rPr>
                <w:rFonts w:cs="Times New Roman"/>
                <w:b/>
                <w:color w:val="000000"/>
                <w:sz w:val="18"/>
                <w:szCs w:val="20"/>
              </w:rPr>
            </w:pPr>
            <w:r w:rsidRPr="0096622F">
              <w:rPr>
                <w:rFonts w:cs="Times New Roman"/>
                <w:b/>
                <w:color w:val="000000"/>
                <w:sz w:val="18"/>
                <w:szCs w:val="20"/>
              </w:rPr>
              <w:t>Coefficient</w:t>
            </w:r>
          </w:p>
          <w:p w:rsidR="0040229D" w:rsidRPr="0096622F" w:rsidRDefault="0040229D" w:rsidP="006B5BF1">
            <w:pPr>
              <w:rPr>
                <w:rFonts w:cs="Times New Roman"/>
                <w:b/>
                <w:color w:val="000000"/>
                <w:sz w:val="18"/>
                <w:szCs w:val="20"/>
              </w:rPr>
            </w:pPr>
            <w:r w:rsidRPr="0096622F">
              <w:rPr>
                <w:rFonts w:cs="Times New Roman"/>
                <w:b/>
                <w:color w:val="000000"/>
                <w:sz w:val="18"/>
                <w:szCs w:val="20"/>
              </w:rPr>
              <w:t>(a0 to a5)</w:t>
            </w:r>
          </w:p>
        </w:tc>
        <w:tc>
          <w:tcPr>
            <w:tcW w:w="1164" w:type="dxa"/>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-2.21462</w:t>
            </w:r>
          </w:p>
        </w:tc>
        <w:tc>
          <w:tcPr>
            <w:tcW w:w="1018" w:type="dxa"/>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0.11174</w:t>
            </w:r>
          </w:p>
        </w:tc>
        <w:tc>
          <w:tcPr>
            <w:tcW w:w="0" w:type="auto"/>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0.00975</w:t>
            </w:r>
          </w:p>
        </w:tc>
        <w:tc>
          <w:tcPr>
            <w:tcW w:w="0" w:type="auto"/>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0.30716</w:t>
            </w:r>
          </w:p>
        </w:tc>
        <w:tc>
          <w:tcPr>
            <w:tcW w:w="0" w:type="auto"/>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0.12570</w:t>
            </w:r>
          </w:p>
        </w:tc>
        <w:tc>
          <w:tcPr>
            <w:tcW w:w="0" w:type="auto"/>
            <w:vAlign w:val="bottom"/>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-0.04572</w:t>
            </w:r>
          </w:p>
        </w:tc>
        <w:tc>
          <w:tcPr>
            <w:tcW w:w="0" w:type="auto"/>
            <w:vAlign w:val="bottom"/>
          </w:tcPr>
          <w:p w:rsidR="0040229D" w:rsidRPr="0096622F" w:rsidRDefault="0040229D" w:rsidP="0040229D">
            <w:pPr>
              <w:rPr>
                <w:rFonts w:cs="Times New Roman"/>
                <w:color w:val="000000"/>
                <w:sz w:val="18"/>
                <w:szCs w:val="22"/>
              </w:rPr>
            </w:pPr>
            <w:r w:rsidRPr="0096622F">
              <w:rPr>
                <w:rFonts w:cs="Times New Roman"/>
                <w:color w:val="000000"/>
                <w:sz w:val="18"/>
                <w:szCs w:val="22"/>
              </w:rPr>
              <w:t>125</w:t>
            </w:r>
          </w:p>
        </w:tc>
      </w:tr>
      <w:tr w:rsidR="0040229D" w:rsidRPr="0096622F" w:rsidTr="0040229D">
        <w:tc>
          <w:tcPr>
            <w:tcW w:w="0" w:type="auto"/>
            <w:tcBorders>
              <w:top w:val="nil"/>
              <w:left w:val="nil"/>
              <w:bottom w:val="nil"/>
            </w:tcBorders>
            <w:vAlign w:val="bottom"/>
          </w:tcPr>
          <w:p w:rsidR="0040229D" w:rsidRPr="0096622F" w:rsidRDefault="0040229D" w:rsidP="00CB6E93">
            <w:pPr>
              <w:rPr>
                <w:rFonts w:cs="Times New Roman"/>
                <w:color w:val="000000"/>
                <w:sz w:val="18"/>
                <w:szCs w:val="22"/>
              </w:rPr>
            </w:pPr>
          </w:p>
        </w:tc>
        <w:tc>
          <w:tcPr>
            <w:tcW w:w="0" w:type="auto"/>
            <w:tcBorders>
              <w:bottom w:val="single" w:sz="4" w:space="0" w:color="000000" w:themeColor="text1"/>
            </w:tcBorders>
            <w:vAlign w:val="bottom"/>
          </w:tcPr>
          <w:p w:rsidR="0040229D" w:rsidRPr="0096622F" w:rsidRDefault="0040229D" w:rsidP="00943BED">
            <w:pPr>
              <w:rPr>
                <w:rFonts w:cs="Times New Roman"/>
                <w:b/>
                <w:color w:val="000000"/>
                <w:sz w:val="18"/>
                <w:szCs w:val="20"/>
              </w:rPr>
            </w:pPr>
            <w:r w:rsidRPr="0096622F">
              <w:rPr>
                <w:rFonts w:cs="Times New Roman"/>
                <w:b/>
                <w:color w:val="000000"/>
                <w:sz w:val="18"/>
                <w:szCs w:val="20"/>
              </w:rPr>
              <w:t>t-value</w:t>
            </w:r>
          </w:p>
        </w:tc>
        <w:tc>
          <w:tcPr>
            <w:tcW w:w="1164"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-30.98</w:t>
            </w:r>
          </w:p>
        </w:tc>
        <w:tc>
          <w:tcPr>
            <w:tcW w:w="1018"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3.51</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1.71</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3.24</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1.55</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-2.76</w:t>
            </w:r>
          </w:p>
        </w:tc>
        <w:tc>
          <w:tcPr>
            <w:tcW w:w="0" w:type="auto"/>
            <w:tcBorders>
              <w:bottom w:val="single" w:sz="4" w:space="0" w:color="000000" w:themeColor="text1"/>
            </w:tcBorders>
            <w:vAlign w:val="bottom"/>
          </w:tcPr>
          <w:p w:rsidR="0040229D" w:rsidRPr="0096622F" w:rsidRDefault="0040229D" w:rsidP="006B5BF1">
            <w:pPr>
              <w:rPr>
                <w:rFonts w:cs="Times New Roman"/>
                <w:color w:val="000000"/>
                <w:sz w:val="18"/>
                <w:szCs w:val="22"/>
              </w:rPr>
            </w:pPr>
          </w:p>
        </w:tc>
      </w:tr>
      <w:tr w:rsidR="0040229D" w:rsidRPr="0096622F" w:rsidTr="0040229D">
        <w:tc>
          <w:tcPr>
            <w:tcW w:w="0" w:type="auto"/>
            <w:tcBorders>
              <w:top w:val="nil"/>
              <w:left w:val="nil"/>
              <w:bottom w:val="nil"/>
            </w:tcBorders>
            <w:vAlign w:val="bottom"/>
          </w:tcPr>
          <w:p w:rsidR="0040229D" w:rsidRPr="0096622F" w:rsidRDefault="0040229D" w:rsidP="00CB6E93">
            <w:pPr>
              <w:rPr>
                <w:rFonts w:cs="Times New Roman"/>
                <w:color w:val="000000"/>
                <w:sz w:val="18"/>
                <w:szCs w:val="22"/>
              </w:rPr>
            </w:pPr>
          </w:p>
        </w:tc>
        <w:tc>
          <w:tcPr>
            <w:tcW w:w="0" w:type="auto"/>
            <w:tcBorders>
              <w:bottom w:val="single" w:sz="4" w:space="0" w:color="000000" w:themeColor="text1"/>
            </w:tcBorders>
            <w:vAlign w:val="bottom"/>
          </w:tcPr>
          <w:p w:rsidR="0040229D" w:rsidRPr="0096622F" w:rsidRDefault="0040229D" w:rsidP="00943BED">
            <w:pPr>
              <w:rPr>
                <w:rFonts w:cs="Times New Roman"/>
                <w:b/>
                <w:color w:val="000000"/>
                <w:sz w:val="18"/>
                <w:szCs w:val="20"/>
              </w:rPr>
            </w:pPr>
            <w:r w:rsidRPr="0096622F">
              <w:rPr>
                <w:rFonts w:cs="Times New Roman"/>
                <w:b/>
                <w:color w:val="000000"/>
                <w:sz w:val="18"/>
                <w:szCs w:val="20"/>
              </w:rPr>
              <w:t>std error</w:t>
            </w:r>
          </w:p>
        </w:tc>
        <w:tc>
          <w:tcPr>
            <w:tcW w:w="1164"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0.0715</w:t>
            </w:r>
          </w:p>
        </w:tc>
        <w:tc>
          <w:tcPr>
            <w:tcW w:w="1018"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0.0319</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0.0057</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0.0949</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0.0809</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0.0166</w:t>
            </w:r>
          </w:p>
        </w:tc>
        <w:tc>
          <w:tcPr>
            <w:tcW w:w="0" w:type="auto"/>
            <w:tcBorders>
              <w:bottom w:val="single" w:sz="4" w:space="0" w:color="000000" w:themeColor="text1"/>
            </w:tcBorders>
            <w:vAlign w:val="bottom"/>
          </w:tcPr>
          <w:p w:rsidR="0040229D" w:rsidRPr="0096622F" w:rsidRDefault="0040229D" w:rsidP="006B5BF1">
            <w:pPr>
              <w:rPr>
                <w:rFonts w:cs="Times New Roman"/>
                <w:color w:val="000000"/>
                <w:sz w:val="18"/>
                <w:szCs w:val="22"/>
              </w:rPr>
            </w:pPr>
          </w:p>
        </w:tc>
      </w:tr>
      <w:tr w:rsidR="0040229D" w:rsidRPr="0096622F" w:rsidTr="0040229D">
        <w:tc>
          <w:tcPr>
            <w:tcW w:w="0" w:type="auto"/>
            <w:tcBorders>
              <w:top w:val="nil"/>
              <w:left w:val="nil"/>
              <w:bottom w:val="nil"/>
            </w:tcBorders>
            <w:vAlign w:val="bottom"/>
          </w:tcPr>
          <w:p w:rsidR="0040229D" w:rsidRPr="0096622F" w:rsidRDefault="0040229D" w:rsidP="00CB6E93">
            <w:pPr>
              <w:rPr>
                <w:rFonts w:cs="Times New Roman"/>
                <w:color w:val="000000"/>
                <w:sz w:val="18"/>
                <w:szCs w:val="22"/>
              </w:rPr>
            </w:pPr>
          </w:p>
        </w:tc>
        <w:tc>
          <w:tcPr>
            <w:tcW w:w="0" w:type="auto"/>
            <w:tcBorders>
              <w:bottom w:val="single" w:sz="4" w:space="0" w:color="000000" w:themeColor="text1"/>
            </w:tcBorders>
            <w:vAlign w:val="bottom"/>
          </w:tcPr>
          <w:p w:rsidR="0040229D" w:rsidRPr="0096622F" w:rsidRDefault="0040229D" w:rsidP="006B5BF1">
            <w:pPr>
              <w:rPr>
                <w:rFonts w:cs="Times New Roman"/>
                <w:b/>
                <w:i/>
                <w:color w:val="000000"/>
                <w:sz w:val="18"/>
                <w:szCs w:val="20"/>
              </w:rPr>
            </w:pPr>
            <w:r w:rsidRPr="0096622F">
              <w:rPr>
                <w:rFonts w:cs="Times New Roman"/>
                <w:b/>
                <w:i/>
                <w:color w:val="000000"/>
                <w:sz w:val="18"/>
                <w:szCs w:val="20"/>
              </w:rPr>
              <w:t>P value</w:t>
            </w:r>
          </w:p>
        </w:tc>
        <w:tc>
          <w:tcPr>
            <w:tcW w:w="1164"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&lt;0.0001</w:t>
            </w:r>
          </w:p>
        </w:tc>
        <w:tc>
          <w:tcPr>
            <w:tcW w:w="1018" w:type="dxa"/>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0.0006</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0.0900</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0.0016</w:t>
            </w:r>
          </w:p>
        </w:tc>
        <w:tc>
          <w:tcPr>
            <w:tcW w:w="0" w:type="auto"/>
            <w:tcBorders>
              <w:bottom w:val="single" w:sz="4" w:space="0" w:color="000000" w:themeColor="text1"/>
            </w:tcBorders>
          </w:tcPr>
          <w:p w:rsidR="0040229D" w:rsidRPr="0096622F" w:rsidRDefault="0040229D" w:rsidP="0040229D">
            <w:pPr>
              <w:jc w:val="right"/>
              <w:rPr>
                <w:rFonts w:ascii="Arial" w:hAnsi="Arial" w:cs="Arial"/>
                <w:color w:val="000000"/>
                <w:sz w:val="18"/>
                <w:szCs w:val="22"/>
              </w:rPr>
            </w:pPr>
            <w:r w:rsidRPr="0096622F">
              <w:rPr>
                <w:rFonts w:ascii="Arial" w:hAnsi="Arial" w:cs="Arial"/>
                <w:color w:val="000000"/>
                <w:sz w:val="18"/>
                <w:szCs w:val="22"/>
              </w:rPr>
              <w:t>0.1227</w:t>
            </w:r>
          </w:p>
        </w:tc>
        <w:tc>
          <w:tcPr>
            <w:tcW w:w="0" w:type="auto"/>
            <w:tcBorders>
              <w:bottom w:val="single" w:sz="4" w:space="0" w:color="000000" w:themeColor="text1"/>
            </w:tcBorders>
          </w:tcPr>
          <w:p w:rsidR="0040229D" w:rsidRPr="0096622F" w:rsidRDefault="0040229D" w:rsidP="0040229D">
            <w:pPr>
              <w:jc w:val="right"/>
              <w:rPr>
                <w:rFonts w:ascii="Arial" w:hAnsi="Arial" w:cs="Arial"/>
                <w:b/>
                <w:color w:val="000000"/>
                <w:sz w:val="18"/>
                <w:szCs w:val="22"/>
              </w:rPr>
            </w:pPr>
            <w:r w:rsidRPr="0096622F">
              <w:rPr>
                <w:rFonts w:ascii="Arial" w:hAnsi="Arial" w:cs="Arial"/>
                <w:b/>
                <w:color w:val="000000"/>
                <w:sz w:val="18"/>
                <w:szCs w:val="22"/>
              </w:rPr>
              <w:t>0.0067</w:t>
            </w:r>
          </w:p>
        </w:tc>
        <w:tc>
          <w:tcPr>
            <w:tcW w:w="0" w:type="auto"/>
            <w:tcBorders>
              <w:bottom w:val="single" w:sz="4" w:space="0" w:color="000000" w:themeColor="text1"/>
            </w:tcBorders>
            <w:vAlign w:val="bottom"/>
          </w:tcPr>
          <w:p w:rsidR="0040229D" w:rsidRPr="0096622F" w:rsidRDefault="0040229D" w:rsidP="006B5BF1">
            <w:pPr>
              <w:rPr>
                <w:rFonts w:cs="Times New Roman"/>
                <w:color w:val="000000"/>
                <w:sz w:val="18"/>
                <w:szCs w:val="22"/>
              </w:rPr>
            </w:pPr>
          </w:p>
        </w:tc>
      </w:tr>
    </w:tbl>
    <w:p w:rsidR="00961206" w:rsidRDefault="00961206" w:rsidP="00160E9E">
      <w:pPr>
        <w:spacing w:after="120"/>
        <w:ind w:firstLine="720"/>
        <w:rPr>
          <w:rFonts w:cs="Times New Roman"/>
        </w:rPr>
      </w:pPr>
    </w:p>
    <w:p w:rsidR="00422F8E" w:rsidRDefault="00422F8E" w:rsidP="00160E9E">
      <w:pPr>
        <w:spacing w:after="120"/>
        <w:ind w:firstLine="720"/>
        <w:rPr>
          <w:rFonts w:cs="Times New Roman"/>
        </w:rPr>
      </w:pPr>
      <w:r w:rsidRPr="00422F8E">
        <w:rPr>
          <w:rFonts w:cs="Times New Roman"/>
        </w:rPr>
        <w:t>Residual trends for flow and seasonally-adjusted log-transformed T</w:t>
      </w:r>
      <w:r w:rsidR="00494951">
        <w:rPr>
          <w:rFonts w:cs="Times New Roman"/>
        </w:rPr>
        <w:t>SS</w:t>
      </w:r>
      <w:r w:rsidRPr="00422F8E">
        <w:rPr>
          <w:rFonts w:cs="Times New Roman"/>
        </w:rPr>
        <w:t xml:space="preserve"> concentrations are plotted for </w:t>
      </w:r>
      <w:r w:rsidR="00494951">
        <w:rPr>
          <w:rFonts w:cs="Times New Roman"/>
        </w:rPr>
        <w:t>the 2004 to 201</w:t>
      </w:r>
      <w:r w:rsidR="00B345B7">
        <w:rPr>
          <w:rFonts w:cs="Times New Roman"/>
        </w:rPr>
        <w:t>3</w:t>
      </w:r>
      <w:r w:rsidR="00494951">
        <w:rPr>
          <w:rFonts w:cs="Times New Roman"/>
        </w:rPr>
        <w:t xml:space="preserve"> p</w:t>
      </w:r>
      <w:r w:rsidRPr="00422F8E">
        <w:rPr>
          <w:rFonts w:cs="Times New Roman"/>
        </w:rPr>
        <w:t xml:space="preserve">eriod </w:t>
      </w:r>
      <w:r w:rsidR="00222511">
        <w:rPr>
          <w:rFonts w:cs="Times New Roman"/>
        </w:rPr>
        <w:t xml:space="preserve">in </w:t>
      </w:r>
      <w:r w:rsidRPr="00422F8E">
        <w:rPr>
          <w:rFonts w:cs="Times New Roman"/>
        </w:rPr>
        <w:t xml:space="preserve">Figure 3.  </w:t>
      </w:r>
      <w:r w:rsidR="001A0A83">
        <w:rPr>
          <w:rFonts w:cs="Times New Roman"/>
        </w:rPr>
        <w:t>R</w:t>
      </w:r>
      <w:r w:rsidRPr="00422F8E">
        <w:rPr>
          <w:rFonts w:cs="Times New Roman"/>
        </w:rPr>
        <w:t>esiduals, or model error, essentially remove the effect of flow and seasonality on log-transformed T</w:t>
      </w:r>
      <w:r w:rsidR="003F4003">
        <w:rPr>
          <w:rFonts w:cs="Times New Roman"/>
        </w:rPr>
        <w:t>SS</w:t>
      </w:r>
      <w:r w:rsidRPr="00422F8E">
        <w:rPr>
          <w:rFonts w:cs="Times New Roman"/>
        </w:rPr>
        <w:t xml:space="preserve"> concentrations.  Therefore, the residuals express the variation in log-transformed T</w:t>
      </w:r>
      <w:r w:rsidR="00494951">
        <w:rPr>
          <w:rFonts w:cs="Times New Roman"/>
        </w:rPr>
        <w:t>SS</w:t>
      </w:r>
      <w:r w:rsidRPr="00422F8E">
        <w:rPr>
          <w:rFonts w:cs="Times New Roman"/>
        </w:rPr>
        <w:t xml:space="preserve"> over time, over and above the variation due to flow and seasonality (Helsel and Hirsch </w:t>
      </w:r>
      <w:r w:rsidR="001A0532">
        <w:rPr>
          <w:rFonts w:cs="Times New Roman"/>
        </w:rPr>
        <w:t>2002</w:t>
      </w:r>
      <w:r w:rsidRPr="00422F8E">
        <w:rPr>
          <w:rFonts w:cs="Times New Roman"/>
        </w:rPr>
        <w:t xml:space="preserve">).  If there were no change in </w:t>
      </w:r>
      <w:r w:rsidR="00494951">
        <w:rPr>
          <w:rFonts w:cs="Times New Roman"/>
        </w:rPr>
        <w:t>TSS</w:t>
      </w:r>
      <w:r w:rsidRPr="00422F8E">
        <w:rPr>
          <w:rFonts w:cs="Times New Roman"/>
        </w:rPr>
        <w:t xml:space="preserve"> concentrations over time, the residuals of the flow and seasonally-adjusted </w:t>
      </w:r>
      <w:r w:rsidR="003F4003">
        <w:rPr>
          <w:rFonts w:cs="Times New Roman"/>
        </w:rPr>
        <w:t>TSS</w:t>
      </w:r>
      <w:r w:rsidRPr="00422F8E">
        <w:rPr>
          <w:rFonts w:cs="Times New Roman"/>
        </w:rPr>
        <w:t xml:space="preserve"> regression model would show no apparent trend over time because the residuals would be evenly distributed along the zero axis.  However, Figure 3 </w:t>
      </w:r>
      <w:r w:rsidR="003F4003">
        <w:rPr>
          <w:rFonts w:cs="Times New Roman"/>
        </w:rPr>
        <w:t xml:space="preserve">seems to </w:t>
      </w:r>
      <w:r w:rsidRPr="00422F8E">
        <w:rPr>
          <w:rFonts w:cs="Times New Roman"/>
        </w:rPr>
        <w:t xml:space="preserve">show a downward trend over time, rather than a parallel cluster along the zero axis.  Therefore, time </w:t>
      </w:r>
      <w:r w:rsidR="001A0A83">
        <w:rPr>
          <w:rFonts w:cs="Times New Roman"/>
        </w:rPr>
        <w:t>appears to be</w:t>
      </w:r>
      <w:r w:rsidRPr="00422F8E">
        <w:rPr>
          <w:rFonts w:cs="Times New Roman"/>
        </w:rPr>
        <w:t xml:space="preserve"> an important explanatory variable to include in the regression model.  Figure </w:t>
      </w:r>
      <w:r w:rsidR="00FE7BD6">
        <w:rPr>
          <w:rFonts w:cs="Times New Roman"/>
        </w:rPr>
        <w:t>4</w:t>
      </w:r>
      <w:r w:rsidRPr="00422F8E">
        <w:rPr>
          <w:rFonts w:cs="Times New Roman"/>
        </w:rPr>
        <w:t xml:space="preserve"> shows the relationship between the observed and predicted log-transformed T</w:t>
      </w:r>
      <w:r w:rsidR="00FE7BD6">
        <w:rPr>
          <w:rFonts w:cs="Times New Roman"/>
        </w:rPr>
        <w:t xml:space="preserve">SS </w:t>
      </w:r>
      <w:r w:rsidRPr="00422F8E">
        <w:rPr>
          <w:rFonts w:cs="Times New Roman"/>
        </w:rPr>
        <w:t>concentrations, where the predicted values are based on the five parameter regression model</w:t>
      </w:r>
      <w:r w:rsidR="00222511">
        <w:rPr>
          <w:rFonts w:cs="Times New Roman"/>
        </w:rPr>
        <w:t xml:space="preserve"> (Table 1)</w:t>
      </w:r>
      <w:r w:rsidRPr="00422F8E">
        <w:rPr>
          <w:rFonts w:cs="Times New Roman"/>
        </w:rPr>
        <w:t xml:space="preserve">.  Most of the points in Figure </w:t>
      </w:r>
      <w:r w:rsidR="00FE7BD6">
        <w:rPr>
          <w:rFonts w:cs="Times New Roman"/>
        </w:rPr>
        <w:t xml:space="preserve">4 </w:t>
      </w:r>
      <w:r w:rsidRPr="00422F8E">
        <w:rPr>
          <w:rFonts w:cs="Times New Roman"/>
        </w:rPr>
        <w:t xml:space="preserve">lie within a uniform, </w:t>
      </w:r>
      <w:r w:rsidR="00705846">
        <w:rPr>
          <w:rFonts w:cs="Times New Roman"/>
        </w:rPr>
        <w:t>moderately tight</w:t>
      </w:r>
      <w:r w:rsidRPr="00422F8E">
        <w:rPr>
          <w:rFonts w:cs="Times New Roman"/>
        </w:rPr>
        <w:t xml:space="preserve"> cluster indicating that the regression model was able to </w:t>
      </w:r>
      <w:r w:rsidR="00705846">
        <w:rPr>
          <w:rFonts w:cs="Times New Roman"/>
        </w:rPr>
        <w:t xml:space="preserve">reliably </w:t>
      </w:r>
      <w:r w:rsidRPr="00422F8E">
        <w:rPr>
          <w:rFonts w:cs="Times New Roman"/>
        </w:rPr>
        <w:t>predict log-transformed T</w:t>
      </w:r>
      <w:r w:rsidR="00FE7BD6">
        <w:rPr>
          <w:rFonts w:cs="Times New Roman"/>
        </w:rPr>
        <w:t>SS</w:t>
      </w:r>
      <w:r w:rsidRPr="00422F8E">
        <w:rPr>
          <w:rFonts w:cs="Times New Roman"/>
        </w:rPr>
        <w:t xml:space="preserve"> concentrations.</w:t>
      </w:r>
    </w:p>
    <w:p w:rsidR="00117717" w:rsidRDefault="00117717" w:rsidP="00117717">
      <w:pPr>
        <w:pStyle w:val="Caption"/>
      </w:pPr>
      <w:r>
        <w:rPr>
          <w:noProof/>
        </w:rPr>
        <w:lastRenderedPageBreak/>
        <w:drawing>
          <wp:inline distT="0" distB="0" distL="0" distR="0">
            <wp:extent cx="4845763" cy="3413049"/>
            <wp:effectExtent l="19050" t="0" r="0" b="0"/>
            <wp:docPr id="7" name="Picture 7" descr="Duck_TSSresidual_limited2008_NEWw-o_outliersTS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ck_TSSresidual_limited2008_NEWw-o_outliersTSS_FINAL"/>
                    <pic:cNvPicPr>
                      <a:picLocks noChangeAspect="1" noChangeArrowheads="1"/>
                    </pic:cNvPicPr>
                  </pic:nvPicPr>
                  <pic:blipFill>
                    <a:blip r:embed="rId14" cstate="print"/>
                    <a:srcRect t="11334" r="6880" b="1253"/>
                    <a:stretch>
                      <a:fillRect/>
                    </a:stretch>
                  </pic:blipFill>
                  <pic:spPr bwMode="auto">
                    <a:xfrm>
                      <a:off x="0" y="0"/>
                      <a:ext cx="4845763" cy="3413049"/>
                    </a:xfrm>
                    <a:prstGeom prst="rect">
                      <a:avLst/>
                    </a:prstGeom>
                    <a:noFill/>
                    <a:ln w="9525">
                      <a:noFill/>
                      <a:miter lim="800000"/>
                      <a:headEnd/>
                      <a:tailEnd/>
                    </a:ln>
                  </pic:spPr>
                </pic:pic>
              </a:graphicData>
            </a:graphic>
          </wp:inline>
        </w:drawing>
      </w:r>
    </w:p>
    <w:p w:rsidR="00117717" w:rsidRDefault="00117717" w:rsidP="00117717">
      <w:pPr>
        <w:pStyle w:val="Caption"/>
      </w:pPr>
      <w:r>
        <w:t>Figure 3.</w:t>
      </w:r>
      <w:r w:rsidRPr="000615E0">
        <w:t xml:space="preserve"> Flow and seasonally-adjusted residuals of log-transformed TSS during Periods 3 and 4 (water years 2004-201</w:t>
      </w:r>
      <w:r>
        <w:t>3</w:t>
      </w:r>
      <w:r w:rsidRPr="000615E0">
        <w:t>).</w:t>
      </w:r>
      <w:r>
        <w:t xml:space="preserve">  Note the downward trend over time (p &lt; 0.0001 for date).</w:t>
      </w:r>
    </w:p>
    <w:p w:rsidR="0064418A" w:rsidRPr="0064418A" w:rsidRDefault="0064418A" w:rsidP="0064418A"/>
    <w:p w:rsidR="00117717" w:rsidRPr="009E798A" w:rsidRDefault="00117717" w:rsidP="00117717">
      <w:r>
        <w:rPr>
          <w:noProof/>
        </w:rPr>
        <w:drawing>
          <wp:inline distT="0" distB="0" distL="0" distR="0">
            <wp:extent cx="4761497" cy="3400946"/>
            <wp:effectExtent l="19050" t="0" r="1003" b="0"/>
            <wp:docPr id="1" name="Picture 11" descr="C:\DATA\uwgbanalyst\Thesis\Dan\SAS_DUCK\SAS_NEW\Duck_TSS_Predicted_limited2008_NEWw-o_outliersTS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A\uwgbanalyst\Thesis\Dan\SAS_DUCK\SAS_NEW\Duck_TSS_Predicted_limited2008_NEWw-o_outliersTSS_FINAL.png"/>
                    <pic:cNvPicPr>
                      <a:picLocks noChangeAspect="1" noChangeArrowheads="1"/>
                    </pic:cNvPicPr>
                  </pic:nvPicPr>
                  <pic:blipFill>
                    <a:blip r:embed="rId15" cstate="print"/>
                    <a:srcRect t="11159" r="6752"/>
                    <a:stretch>
                      <a:fillRect/>
                    </a:stretch>
                  </pic:blipFill>
                  <pic:spPr bwMode="auto">
                    <a:xfrm>
                      <a:off x="0" y="0"/>
                      <a:ext cx="4761497" cy="3400946"/>
                    </a:xfrm>
                    <a:prstGeom prst="rect">
                      <a:avLst/>
                    </a:prstGeom>
                    <a:noFill/>
                    <a:ln w="9525">
                      <a:noFill/>
                      <a:miter lim="800000"/>
                      <a:headEnd/>
                      <a:tailEnd/>
                    </a:ln>
                  </pic:spPr>
                </pic:pic>
              </a:graphicData>
            </a:graphic>
          </wp:inline>
        </w:drawing>
      </w:r>
    </w:p>
    <w:p w:rsidR="00117717" w:rsidRDefault="00117717" w:rsidP="00117717">
      <w:pPr>
        <w:pStyle w:val="Caption"/>
      </w:pPr>
      <w:r>
        <w:t>Figure 4</w:t>
      </w:r>
      <w:r w:rsidRPr="00FE7BD6">
        <w:t xml:space="preserve">.  Observed and predicted log-transformed total </w:t>
      </w:r>
      <w:r>
        <w:t>suspended solids</w:t>
      </w:r>
      <w:r w:rsidRPr="00FE7BD6">
        <w:t xml:space="preserve"> (LN_T</w:t>
      </w:r>
      <w:r>
        <w:t>SS</w:t>
      </w:r>
      <w:r w:rsidRPr="00FE7BD6">
        <w:t xml:space="preserve">) concentrations during </w:t>
      </w:r>
      <w:r>
        <w:t>2004 to 2013 period</w:t>
      </w:r>
      <w:r w:rsidRPr="00FE7BD6">
        <w:t xml:space="preserve"> with the selected best fit regression model (adjusted R</w:t>
      </w:r>
      <w:r w:rsidRPr="00222511">
        <w:rPr>
          <w:vertAlign w:val="superscript"/>
        </w:rPr>
        <w:t>2</w:t>
      </w:r>
      <w:r w:rsidRPr="00FE7BD6">
        <w:t xml:space="preserve"> = 0.</w:t>
      </w:r>
      <w:r>
        <w:t>72</w:t>
      </w:r>
      <w:r w:rsidRPr="00FE7BD6">
        <w:t>).  Pattern indicates regression model r</w:t>
      </w:r>
      <w:r>
        <w:t>eliably</w:t>
      </w:r>
      <w:r w:rsidRPr="00FE7BD6">
        <w:t xml:space="preserve"> predict</w:t>
      </w:r>
      <w:r>
        <w:t>ed</w:t>
      </w:r>
      <w:r w:rsidRPr="00FE7BD6">
        <w:t xml:space="preserve"> T</w:t>
      </w:r>
      <w:r>
        <w:t xml:space="preserve">SS </w:t>
      </w:r>
      <w:r w:rsidRPr="00FE7BD6">
        <w:t>concentration</w:t>
      </w:r>
      <w:r>
        <w:t>s</w:t>
      </w:r>
      <w:r w:rsidRPr="00FE7BD6">
        <w:t>.</w:t>
      </w:r>
    </w:p>
    <w:p w:rsidR="007679A3" w:rsidRDefault="005B66B8" w:rsidP="007679A3">
      <w:pPr>
        <w:spacing w:after="120"/>
        <w:ind w:firstLine="720"/>
        <w:rPr>
          <w:rFonts w:cs="Times New Roman"/>
        </w:rPr>
      </w:pPr>
      <w:r>
        <w:rPr>
          <w:rFonts w:cs="Times New Roman"/>
        </w:rPr>
        <w:lastRenderedPageBreak/>
        <w:t>As shown in Figure 5, r</w:t>
      </w:r>
      <w:r w:rsidR="00B345B7" w:rsidRPr="00422F8E">
        <w:rPr>
          <w:rFonts w:cs="Times New Roman"/>
        </w:rPr>
        <w:t>esidual trends for flow and seasonally-adjusted log-transformed T</w:t>
      </w:r>
      <w:r w:rsidR="00B345B7">
        <w:rPr>
          <w:rFonts w:cs="Times New Roman"/>
        </w:rPr>
        <w:t>P</w:t>
      </w:r>
      <w:r w:rsidR="00B345B7" w:rsidRPr="00422F8E">
        <w:rPr>
          <w:rFonts w:cs="Times New Roman"/>
        </w:rPr>
        <w:t xml:space="preserve"> concentrations are plotted for </w:t>
      </w:r>
      <w:r w:rsidR="00B345B7">
        <w:rPr>
          <w:rFonts w:cs="Times New Roman"/>
        </w:rPr>
        <w:t>the 2004 to 2013 p</w:t>
      </w:r>
      <w:r w:rsidR="00B345B7" w:rsidRPr="00422F8E">
        <w:rPr>
          <w:rFonts w:cs="Times New Roman"/>
        </w:rPr>
        <w:t xml:space="preserve">eriod </w:t>
      </w:r>
      <w:r>
        <w:rPr>
          <w:rFonts w:cs="Times New Roman"/>
        </w:rPr>
        <w:t xml:space="preserve">and </w:t>
      </w:r>
      <w:r w:rsidR="00B345B7">
        <w:rPr>
          <w:rFonts w:cs="Times New Roman"/>
        </w:rPr>
        <w:t xml:space="preserve">seem to </w:t>
      </w:r>
      <w:r w:rsidR="00B345B7" w:rsidRPr="00422F8E">
        <w:rPr>
          <w:rFonts w:cs="Times New Roman"/>
        </w:rPr>
        <w:t xml:space="preserve">show a </w:t>
      </w:r>
      <w:r>
        <w:rPr>
          <w:rFonts w:cs="Times New Roman"/>
        </w:rPr>
        <w:t xml:space="preserve">slight </w:t>
      </w:r>
      <w:r w:rsidR="00B345B7" w:rsidRPr="00422F8E">
        <w:rPr>
          <w:rFonts w:cs="Times New Roman"/>
        </w:rPr>
        <w:t xml:space="preserve">downward trend over time, rather than a parallel cluster along the zero axis.  </w:t>
      </w:r>
      <w:r w:rsidR="00225A1B">
        <w:rPr>
          <w:rFonts w:cs="Times New Roman"/>
        </w:rPr>
        <w:t xml:space="preserve">Although the trend is not as strong as with LN_TSS concentrations, </w:t>
      </w:r>
      <w:r w:rsidR="00B345B7" w:rsidRPr="00422F8E">
        <w:rPr>
          <w:rFonts w:cs="Times New Roman"/>
        </w:rPr>
        <w:t xml:space="preserve">time </w:t>
      </w:r>
      <w:r w:rsidR="00B345B7">
        <w:rPr>
          <w:rFonts w:cs="Times New Roman"/>
        </w:rPr>
        <w:t>appears to be</w:t>
      </w:r>
      <w:r w:rsidR="00B345B7" w:rsidRPr="00422F8E">
        <w:rPr>
          <w:rFonts w:cs="Times New Roman"/>
        </w:rPr>
        <w:t xml:space="preserve"> an important explanatory variable to include in the regression model.</w:t>
      </w:r>
      <w:r>
        <w:rPr>
          <w:rFonts w:cs="Times New Roman"/>
        </w:rPr>
        <w:t xml:space="preserve">  </w:t>
      </w:r>
      <w:r w:rsidR="007679A3" w:rsidRPr="00422F8E">
        <w:rPr>
          <w:rFonts w:cs="Times New Roman"/>
        </w:rPr>
        <w:t xml:space="preserve">Figure </w:t>
      </w:r>
      <w:r w:rsidR="007679A3">
        <w:rPr>
          <w:rFonts w:cs="Times New Roman"/>
        </w:rPr>
        <w:t>6</w:t>
      </w:r>
      <w:r w:rsidR="007679A3" w:rsidRPr="00422F8E">
        <w:rPr>
          <w:rFonts w:cs="Times New Roman"/>
        </w:rPr>
        <w:t xml:space="preserve"> shows the relationship between the observed and predicted log-transformed T</w:t>
      </w:r>
      <w:r w:rsidR="007679A3">
        <w:rPr>
          <w:rFonts w:cs="Times New Roman"/>
        </w:rPr>
        <w:t xml:space="preserve">P </w:t>
      </w:r>
      <w:r w:rsidR="007679A3" w:rsidRPr="00422F8E">
        <w:rPr>
          <w:rFonts w:cs="Times New Roman"/>
        </w:rPr>
        <w:t>concentrations, where the predicted values are based on the five parameter regression model</w:t>
      </w:r>
      <w:r w:rsidR="007679A3">
        <w:rPr>
          <w:rFonts w:cs="Times New Roman"/>
        </w:rPr>
        <w:t xml:space="preserve"> (Table 1)</w:t>
      </w:r>
      <w:r w:rsidR="007679A3" w:rsidRPr="00422F8E">
        <w:rPr>
          <w:rFonts w:cs="Times New Roman"/>
        </w:rPr>
        <w:t xml:space="preserve">.  Most of the points in Figure </w:t>
      </w:r>
      <w:r w:rsidR="007679A3">
        <w:rPr>
          <w:rFonts w:cs="Times New Roman"/>
        </w:rPr>
        <w:t xml:space="preserve">6 </w:t>
      </w:r>
      <w:r w:rsidR="007679A3" w:rsidRPr="00422F8E">
        <w:rPr>
          <w:rFonts w:cs="Times New Roman"/>
        </w:rPr>
        <w:t>lie within a uniform, but relatively loose cluster indicating that the regression model was able to reasonably predict log-transformed T</w:t>
      </w:r>
      <w:r w:rsidR="007679A3">
        <w:rPr>
          <w:rFonts w:cs="Times New Roman"/>
        </w:rPr>
        <w:t>P</w:t>
      </w:r>
      <w:r w:rsidR="007679A3" w:rsidRPr="00422F8E">
        <w:rPr>
          <w:rFonts w:cs="Times New Roman"/>
        </w:rPr>
        <w:t xml:space="preserve"> concentrations.</w:t>
      </w:r>
    </w:p>
    <w:p w:rsidR="003F4003" w:rsidRDefault="003F4003" w:rsidP="003F4003">
      <w:pPr>
        <w:spacing w:after="120"/>
        <w:ind w:firstLine="720"/>
        <w:rPr>
          <w:rFonts w:cs="Times New Roman"/>
        </w:rPr>
      </w:pPr>
      <w:r>
        <w:rPr>
          <w:rFonts w:cs="Times New Roman"/>
        </w:rPr>
        <w:t xml:space="preserve">Caution should be used when interpreting these results because the dataset is not continuous </w:t>
      </w:r>
      <w:r w:rsidR="004A7BE0">
        <w:rPr>
          <w:rFonts w:cs="Times New Roman"/>
        </w:rPr>
        <w:t>due to</w:t>
      </w:r>
      <w:r>
        <w:rPr>
          <w:rFonts w:cs="Times New Roman"/>
        </w:rPr>
        <w:t xml:space="preserve"> a large gap in time between when the last samples were collected in </w:t>
      </w:r>
      <w:r w:rsidR="00113489">
        <w:rPr>
          <w:rFonts w:cs="Times New Roman"/>
        </w:rPr>
        <w:t>water year 2</w:t>
      </w:r>
      <w:r>
        <w:rPr>
          <w:rFonts w:cs="Times New Roman"/>
        </w:rPr>
        <w:t xml:space="preserve">008, and when the first samples were collected under this study.  So the lack of a continuous data set can pose questions about the validity </w:t>
      </w:r>
      <w:r w:rsidR="00222511">
        <w:rPr>
          <w:rFonts w:cs="Times New Roman"/>
        </w:rPr>
        <w:t xml:space="preserve">of the results from </w:t>
      </w:r>
      <w:r>
        <w:rPr>
          <w:rFonts w:cs="Times New Roman"/>
        </w:rPr>
        <w:t>this trend analysis.</w:t>
      </w:r>
      <w:r w:rsidRPr="003F4003">
        <w:t xml:space="preserve"> </w:t>
      </w:r>
      <w:r>
        <w:t xml:space="preserve"> </w:t>
      </w:r>
      <w:r w:rsidR="00705846">
        <w:t>F</w:t>
      </w:r>
      <w:r w:rsidRPr="003F4003">
        <w:rPr>
          <w:rFonts w:cs="Times New Roman"/>
        </w:rPr>
        <w:t xml:space="preserve">urther </w:t>
      </w:r>
      <w:r w:rsidR="00705846">
        <w:rPr>
          <w:rFonts w:cs="Times New Roman"/>
        </w:rPr>
        <w:t xml:space="preserve">tests were therefore conducted to </w:t>
      </w:r>
      <w:r w:rsidRPr="003F4003">
        <w:rPr>
          <w:rFonts w:cs="Times New Roman"/>
        </w:rPr>
        <w:t xml:space="preserve">verify the regression results, </w:t>
      </w:r>
      <w:r w:rsidR="00705846">
        <w:rPr>
          <w:rFonts w:cs="Times New Roman"/>
        </w:rPr>
        <w:t xml:space="preserve">including </w:t>
      </w:r>
      <w:r w:rsidRPr="003F4003">
        <w:rPr>
          <w:rFonts w:cs="Times New Roman"/>
        </w:rPr>
        <w:t>the non-parametric Wilcoxon Rank sum test</w:t>
      </w:r>
      <w:r w:rsidR="00705846">
        <w:rPr>
          <w:rFonts w:cs="Times New Roman"/>
        </w:rPr>
        <w:t xml:space="preserve">, which </w:t>
      </w:r>
      <w:r w:rsidRPr="003F4003">
        <w:rPr>
          <w:rFonts w:cs="Times New Roman"/>
        </w:rPr>
        <w:t xml:space="preserve">was applied to compare the </w:t>
      </w:r>
      <w:r>
        <w:rPr>
          <w:rFonts w:cs="Times New Roman"/>
        </w:rPr>
        <w:t>third (2004 to 200</w:t>
      </w:r>
      <w:r w:rsidR="00705846">
        <w:rPr>
          <w:rFonts w:cs="Times New Roman"/>
        </w:rPr>
        <w:t>7</w:t>
      </w:r>
      <w:r>
        <w:rPr>
          <w:rFonts w:cs="Times New Roman"/>
        </w:rPr>
        <w:t>) and fourth (201</w:t>
      </w:r>
      <w:r w:rsidR="00AD3450">
        <w:rPr>
          <w:rFonts w:cs="Times New Roman"/>
        </w:rPr>
        <w:t>3</w:t>
      </w:r>
      <w:r>
        <w:rPr>
          <w:rFonts w:cs="Times New Roman"/>
        </w:rPr>
        <w:t xml:space="preserve">) </w:t>
      </w:r>
      <w:r w:rsidRPr="003F4003">
        <w:rPr>
          <w:rFonts w:cs="Times New Roman"/>
        </w:rPr>
        <w:t xml:space="preserve">periods with regards to </w:t>
      </w:r>
      <w:r w:rsidR="00490406">
        <w:rPr>
          <w:rFonts w:cs="Times New Roman"/>
        </w:rPr>
        <w:t xml:space="preserve">TSS, </w:t>
      </w:r>
      <w:r w:rsidRPr="003F4003">
        <w:rPr>
          <w:rFonts w:cs="Times New Roman"/>
        </w:rPr>
        <w:t xml:space="preserve">TP, DP, DP/TP and flow.  </w:t>
      </w:r>
      <w:r>
        <w:rPr>
          <w:rFonts w:cs="Times New Roman"/>
        </w:rPr>
        <w:t>The results of this analysis are presented in the following section.</w:t>
      </w:r>
    </w:p>
    <w:p w:rsidR="009E798A" w:rsidRDefault="009E798A" w:rsidP="009E798A">
      <w:pPr>
        <w:keepNext/>
        <w:spacing w:after="120"/>
        <w:ind w:firstLine="720"/>
      </w:pPr>
    </w:p>
    <w:p w:rsidR="005D5C2B" w:rsidRDefault="00DE01C9" w:rsidP="00F613AC">
      <w:pPr>
        <w:pStyle w:val="Caption"/>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06.75pt" o:allowoverlap="f">
            <v:imagedata r:id="rId16" o:title="Duck_TPresidual_limited2008_NEWw-o_outliersTSS_FINAL" croptop="7446f" cropbottom="839f" cropright="4483f"/>
          </v:shape>
        </w:pict>
      </w:r>
    </w:p>
    <w:p w:rsidR="009E798A" w:rsidRDefault="009E798A" w:rsidP="009E798A">
      <w:pPr>
        <w:pStyle w:val="Caption"/>
      </w:pPr>
      <w:r>
        <w:t>Figure 5.</w:t>
      </w:r>
      <w:r w:rsidRPr="000615E0">
        <w:t xml:space="preserve"> </w:t>
      </w:r>
      <w:r w:rsidR="00F613AC">
        <w:t xml:space="preserve"> </w:t>
      </w:r>
      <w:r w:rsidRPr="000615E0">
        <w:t>Flow and seasonally-adjusted residuals of log-transformed T</w:t>
      </w:r>
      <w:r>
        <w:t>P</w:t>
      </w:r>
      <w:r w:rsidRPr="000615E0">
        <w:t xml:space="preserve"> during Periods 3 and 4 (water years 2004-201</w:t>
      </w:r>
      <w:r>
        <w:t>3</w:t>
      </w:r>
      <w:r w:rsidRPr="000615E0">
        <w:t>).</w:t>
      </w:r>
      <w:r>
        <w:t xml:space="preserve">  Note the slight downward trend over time (p = 0.00</w:t>
      </w:r>
      <w:r w:rsidR="005D5C2B">
        <w:t>19</w:t>
      </w:r>
      <w:r>
        <w:t xml:space="preserve"> for date).</w:t>
      </w:r>
    </w:p>
    <w:p w:rsidR="0064418A" w:rsidRPr="0064418A" w:rsidRDefault="0064418A" w:rsidP="0064418A"/>
    <w:p w:rsidR="00E70923" w:rsidRDefault="00C9527A" w:rsidP="00C9527A">
      <w:r>
        <w:rPr>
          <w:noProof/>
        </w:rPr>
        <w:lastRenderedPageBreak/>
        <w:drawing>
          <wp:inline distT="0" distB="0" distL="0" distR="0">
            <wp:extent cx="5534660" cy="3954145"/>
            <wp:effectExtent l="19050" t="0" r="8890" b="0"/>
            <wp:docPr id="13" name="Picture 13" descr="C:\DATA\uwgbanalyst\Thesis\Dan\SAS_DUCK\SAS_NEW\Duck_TP_Predicted_limited2008_NEWw-o_outliersTS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ATA\uwgbanalyst\Thesis\Dan\SAS_DUCK\SAS_NEW\Duck_TP_Predicted_limited2008_NEWw-o_outliersTSS_FINAL.png"/>
                    <pic:cNvPicPr>
                      <a:picLocks noChangeAspect="1" noChangeArrowheads="1"/>
                    </pic:cNvPicPr>
                  </pic:nvPicPr>
                  <pic:blipFill>
                    <a:blip r:embed="rId17" cstate="print"/>
                    <a:srcRect t="11334" r="6880"/>
                    <a:stretch>
                      <a:fillRect/>
                    </a:stretch>
                  </pic:blipFill>
                  <pic:spPr bwMode="auto">
                    <a:xfrm>
                      <a:off x="0" y="0"/>
                      <a:ext cx="5534660" cy="3954145"/>
                    </a:xfrm>
                    <a:prstGeom prst="rect">
                      <a:avLst/>
                    </a:prstGeom>
                    <a:noFill/>
                    <a:ln w="9525">
                      <a:noFill/>
                      <a:miter lim="800000"/>
                      <a:headEnd/>
                      <a:tailEnd/>
                    </a:ln>
                  </pic:spPr>
                </pic:pic>
              </a:graphicData>
            </a:graphic>
          </wp:inline>
        </w:drawing>
      </w:r>
    </w:p>
    <w:p w:rsidR="00E70923" w:rsidRDefault="00E70923" w:rsidP="00E70923">
      <w:pPr>
        <w:pStyle w:val="Caption"/>
      </w:pPr>
      <w:r>
        <w:t xml:space="preserve">Figure </w:t>
      </w:r>
      <w:r w:rsidR="00C9527A">
        <w:t>6</w:t>
      </w:r>
      <w:r w:rsidRPr="00FE7BD6">
        <w:t xml:space="preserve">.  Observed and predicted log-transformed total </w:t>
      </w:r>
      <w:r w:rsidR="00C9527A">
        <w:t>phosphorus</w:t>
      </w:r>
      <w:r w:rsidRPr="00FE7BD6">
        <w:t xml:space="preserve"> (LN_</w:t>
      </w:r>
      <w:r w:rsidR="00C9527A">
        <w:t>TP</w:t>
      </w:r>
      <w:r w:rsidRPr="00FE7BD6">
        <w:t xml:space="preserve">) concentrations during </w:t>
      </w:r>
      <w:r>
        <w:t>2004 to 201</w:t>
      </w:r>
      <w:r w:rsidR="00C9527A">
        <w:t>3</w:t>
      </w:r>
      <w:r>
        <w:t xml:space="preserve"> period</w:t>
      </w:r>
      <w:r w:rsidRPr="00FE7BD6">
        <w:t xml:space="preserve"> with the selected best fit regression model (adjusted R</w:t>
      </w:r>
      <w:r w:rsidRPr="00222511">
        <w:rPr>
          <w:vertAlign w:val="superscript"/>
        </w:rPr>
        <w:t>2</w:t>
      </w:r>
      <w:r w:rsidRPr="00FE7BD6">
        <w:t xml:space="preserve"> = 0.</w:t>
      </w:r>
      <w:r w:rsidR="00C9527A">
        <w:t>39</w:t>
      </w:r>
      <w:r w:rsidRPr="00FE7BD6">
        <w:t>).  Pattern indicates regression model reasonably predict</w:t>
      </w:r>
      <w:r w:rsidR="00C70488">
        <w:t>ed</w:t>
      </w:r>
      <w:r w:rsidRPr="00FE7BD6">
        <w:t xml:space="preserve"> T</w:t>
      </w:r>
      <w:r w:rsidR="00C9527A">
        <w:t>P</w:t>
      </w:r>
      <w:r>
        <w:t xml:space="preserve"> </w:t>
      </w:r>
      <w:r w:rsidRPr="00FE7BD6">
        <w:t>concentration</w:t>
      </w:r>
      <w:r>
        <w:t>s</w:t>
      </w:r>
      <w:r w:rsidRPr="00FE7BD6">
        <w:t>.</w:t>
      </w:r>
    </w:p>
    <w:p w:rsidR="009E798A" w:rsidRDefault="009E798A" w:rsidP="00996328"/>
    <w:p w:rsidR="00DA4231" w:rsidRDefault="00DA4231" w:rsidP="00DA4231">
      <w:pPr>
        <w:pStyle w:val="Heading2"/>
      </w:pPr>
      <w:r w:rsidRPr="00CE3E9B">
        <w:t>Further Investigation</w:t>
      </w:r>
      <w:r>
        <w:t>:</w:t>
      </w:r>
      <w:r w:rsidR="008B1D41">
        <w:t xml:space="preserve"> Have TSS, TP and DP Really Declined in Recent Years? </w:t>
      </w:r>
      <w:r>
        <w:t xml:space="preserve"> </w:t>
      </w:r>
    </w:p>
    <w:p w:rsidR="00DA4231" w:rsidRDefault="00DA4231" w:rsidP="00996328"/>
    <w:p w:rsidR="008B1D41" w:rsidRPr="00F053AA" w:rsidRDefault="008B1D41" w:rsidP="008B1D41">
      <w:pPr>
        <w:spacing w:after="120"/>
        <w:rPr>
          <w:rFonts w:cs="Times New Roman"/>
        </w:rPr>
      </w:pPr>
      <w:r w:rsidRPr="008B1D41">
        <w:rPr>
          <w:rFonts w:cs="Times New Roman"/>
          <w:i/>
          <w:u w:val="single"/>
        </w:rPr>
        <w:t>Did censoring the data for potential outliers alter the findings</w:t>
      </w:r>
      <w:r w:rsidRPr="00962BD8">
        <w:rPr>
          <w:rFonts w:cs="Times New Roman"/>
          <w:i/>
        </w:rPr>
        <w:t>?</w:t>
      </w:r>
      <w:r>
        <w:rPr>
          <w:rFonts w:cs="Times New Roman"/>
        </w:rPr>
        <w:t xml:space="preserve">  </w:t>
      </w:r>
      <w:r w:rsidR="0021663D">
        <w:rPr>
          <w:rFonts w:cs="Times New Roman"/>
        </w:rPr>
        <w:t xml:space="preserve">This question was posed </w:t>
      </w:r>
      <w:r w:rsidR="007410A0">
        <w:rPr>
          <w:rFonts w:cs="Times New Roman"/>
        </w:rPr>
        <w:t xml:space="preserve">mainly </w:t>
      </w:r>
      <w:r w:rsidR="009E1029">
        <w:rPr>
          <w:rFonts w:cs="Times New Roman"/>
        </w:rPr>
        <w:t xml:space="preserve">to test the robustness of the analysis, and associated conclusions.  </w:t>
      </w:r>
      <w:r>
        <w:rPr>
          <w:rFonts w:cs="Times New Roman"/>
        </w:rPr>
        <w:t>To attempt to answer this question, f</w:t>
      </w:r>
      <w:r w:rsidRPr="00AD445F">
        <w:rPr>
          <w:rFonts w:cs="Times New Roman"/>
        </w:rPr>
        <w:t>urther tests were conducted to see what effect censoring some of the original data had on the TSS</w:t>
      </w:r>
      <w:r w:rsidR="009E1029">
        <w:rPr>
          <w:rFonts w:cs="Times New Roman"/>
        </w:rPr>
        <w:t>, TP</w:t>
      </w:r>
      <w:r w:rsidRPr="00AD445F">
        <w:rPr>
          <w:rFonts w:cs="Times New Roman"/>
        </w:rPr>
        <w:t xml:space="preserve"> and </w:t>
      </w:r>
      <w:r w:rsidR="009E1029">
        <w:rPr>
          <w:rFonts w:cs="Times New Roman"/>
        </w:rPr>
        <w:t>D</w:t>
      </w:r>
      <w:r w:rsidRPr="00AD445F">
        <w:rPr>
          <w:rFonts w:cs="Times New Roman"/>
        </w:rPr>
        <w:t xml:space="preserve">P results.  When the censored 2008 data representing 58 water samples were instead included in the analysis, decimal time remained a significant explanatory variable for log-transformed TSS concentrations (p &lt; 0.0001; n = 325).  The slope for decimal time was </w:t>
      </w:r>
      <w:bookmarkStart w:id="15" w:name="OLE_LINK6"/>
      <w:r w:rsidRPr="00AD445F">
        <w:rPr>
          <w:rFonts w:cs="Times New Roman"/>
        </w:rPr>
        <w:t>-0.115</w:t>
      </w:r>
      <w:bookmarkEnd w:id="15"/>
      <w:r w:rsidRPr="00AD445F">
        <w:rPr>
          <w:rFonts w:cs="Times New Roman"/>
        </w:rPr>
        <w:t xml:space="preserve">, which is roughly equivalent to a decrease of 10.9% per year over the 2004 to 2013 period.  </w:t>
      </w:r>
      <w:r w:rsidRPr="00210C86">
        <w:rPr>
          <w:rFonts w:cs="Times New Roman"/>
        </w:rPr>
        <w:t>When outliers and the excluded 2008 data were included in the analysis, decimal time was still a significant explanatory variable for log-transformed TSS concentrations (p</w:t>
      </w:r>
      <w:r w:rsidR="0066205D">
        <w:rPr>
          <w:rFonts w:cs="Times New Roman"/>
        </w:rPr>
        <w:t xml:space="preserve"> </w:t>
      </w:r>
      <w:r w:rsidRPr="00210C86">
        <w:rPr>
          <w:rFonts w:cs="Times New Roman"/>
        </w:rPr>
        <w:t>&lt; 0.0001; n = 343).  The slope for decimal time was -</w:t>
      </w:r>
      <w:bookmarkStart w:id="16" w:name="OLE_LINK7"/>
      <w:r w:rsidRPr="00210C86">
        <w:rPr>
          <w:rFonts w:cs="Times New Roman"/>
        </w:rPr>
        <w:t>0.12</w:t>
      </w:r>
      <w:r w:rsidR="009D2513">
        <w:rPr>
          <w:rFonts w:cs="Times New Roman"/>
        </w:rPr>
        <w:t>5</w:t>
      </w:r>
      <w:bookmarkEnd w:id="16"/>
      <w:r w:rsidRPr="00210C86">
        <w:rPr>
          <w:rFonts w:cs="Times New Roman"/>
        </w:rPr>
        <w:t xml:space="preserve">, which is roughly equivalent to a decrease of 13.3% per year over the 2004 to 2013 period.  </w:t>
      </w:r>
      <w:r w:rsidRPr="00F053AA">
        <w:rPr>
          <w:rFonts w:cs="Times New Roman"/>
        </w:rPr>
        <w:t xml:space="preserve">When just the outliers were added to the original dataset, decimal time was still a significant explanatory variable for log-transformed TSS concentrations (p &lt; 0.0001; n = 287), and the slope for decimal time was </w:t>
      </w:r>
      <w:bookmarkStart w:id="17" w:name="OLE_LINK8"/>
      <w:r w:rsidRPr="00F053AA">
        <w:rPr>
          <w:rFonts w:cs="Times New Roman"/>
        </w:rPr>
        <w:t>-0.084</w:t>
      </w:r>
      <w:bookmarkEnd w:id="17"/>
      <w:r w:rsidRPr="00F053AA">
        <w:rPr>
          <w:rFonts w:cs="Times New Roman"/>
        </w:rPr>
        <w:t>, which is roughly equivalent to a decrease of 8.1% per year.  Therefore, excluding outliers and/or the censored 2008 data had a minimal effect on the resulting LN_TSS regression model</w:t>
      </w:r>
      <w:r w:rsidR="00F5414F">
        <w:rPr>
          <w:rFonts w:cs="Times New Roman"/>
        </w:rPr>
        <w:t>.  T</w:t>
      </w:r>
      <w:r w:rsidRPr="00F053AA">
        <w:rPr>
          <w:rFonts w:cs="Times New Roman"/>
        </w:rPr>
        <w:t>he model still indicate</w:t>
      </w:r>
      <w:r w:rsidR="00F5414F">
        <w:rPr>
          <w:rFonts w:cs="Times New Roman"/>
        </w:rPr>
        <w:t>d</w:t>
      </w:r>
      <w:r w:rsidRPr="00F053AA">
        <w:rPr>
          <w:rFonts w:cs="Times New Roman"/>
        </w:rPr>
        <w:t xml:space="preserve"> a </w:t>
      </w:r>
      <w:r w:rsidRPr="00F053AA">
        <w:rPr>
          <w:rFonts w:cs="Times New Roman"/>
        </w:rPr>
        <w:lastRenderedPageBreak/>
        <w:t xml:space="preserve">decreasing trend in TSS concentrations, although removing outliers or potential sampling bias seems to </w:t>
      </w:r>
      <w:r w:rsidR="00F5414F">
        <w:rPr>
          <w:rFonts w:cs="Times New Roman"/>
        </w:rPr>
        <w:t xml:space="preserve">have </w:t>
      </w:r>
      <w:r w:rsidRPr="00F053AA">
        <w:rPr>
          <w:rFonts w:cs="Times New Roman"/>
        </w:rPr>
        <w:t>diminish</w:t>
      </w:r>
      <w:r w:rsidR="00F5414F">
        <w:rPr>
          <w:rFonts w:cs="Times New Roman"/>
        </w:rPr>
        <w:t>ed</w:t>
      </w:r>
      <w:r w:rsidRPr="00F053AA">
        <w:rPr>
          <w:rFonts w:cs="Times New Roman"/>
        </w:rPr>
        <w:t xml:space="preserve"> the rate of decrease.</w:t>
      </w:r>
    </w:p>
    <w:p w:rsidR="008B1D41" w:rsidRPr="006579B8" w:rsidRDefault="008B1D41" w:rsidP="008B1D41">
      <w:pPr>
        <w:spacing w:after="120"/>
        <w:ind w:firstLine="720"/>
        <w:rPr>
          <w:rFonts w:cs="Times New Roman"/>
        </w:rPr>
      </w:pPr>
      <w:r w:rsidRPr="00AD445F">
        <w:rPr>
          <w:rFonts w:cs="Times New Roman"/>
        </w:rPr>
        <w:t>When the censored 2008 data representing 58 water samples were instead included in the analysis, decimal time remained a significant explanatory variable for log-transformed TP concentrations (p &lt; 0.0001; n = 3</w:t>
      </w:r>
      <w:r>
        <w:rPr>
          <w:rFonts w:cs="Times New Roman"/>
        </w:rPr>
        <w:t>25</w:t>
      </w:r>
      <w:r w:rsidRPr="00AD445F">
        <w:rPr>
          <w:rFonts w:cs="Times New Roman"/>
        </w:rPr>
        <w:t xml:space="preserve">).  The slope for decimal time was </w:t>
      </w:r>
      <w:bookmarkStart w:id="18" w:name="OLE_LINK4"/>
      <w:r w:rsidRPr="00AD445F">
        <w:rPr>
          <w:rFonts w:cs="Times New Roman"/>
        </w:rPr>
        <w:t>-0.05</w:t>
      </w:r>
      <w:r>
        <w:rPr>
          <w:rFonts w:cs="Times New Roman"/>
        </w:rPr>
        <w:t>4</w:t>
      </w:r>
      <w:bookmarkEnd w:id="18"/>
      <w:r w:rsidRPr="00AD445F">
        <w:rPr>
          <w:rFonts w:cs="Times New Roman"/>
        </w:rPr>
        <w:t xml:space="preserve">, which is roughly equivalent to a decrease of </w:t>
      </w:r>
      <w:r>
        <w:rPr>
          <w:rFonts w:cs="Times New Roman"/>
        </w:rPr>
        <w:t>5.3</w:t>
      </w:r>
      <w:r w:rsidRPr="00AD445F">
        <w:rPr>
          <w:rFonts w:cs="Times New Roman"/>
        </w:rPr>
        <w:t xml:space="preserve">% per year over the 2004 to 2013 period.  </w:t>
      </w:r>
      <w:r w:rsidRPr="00210C86">
        <w:rPr>
          <w:rFonts w:cs="Times New Roman"/>
        </w:rPr>
        <w:t xml:space="preserve">When outliers and the censored 2008 data were included, decimal time again remained a significant explanatory variable for log-transformed TP concentrations (p= 0.0144; n = 343).  The slope for decimal time was </w:t>
      </w:r>
      <w:bookmarkStart w:id="19" w:name="OLE_LINK5"/>
      <w:r w:rsidRPr="00210C86">
        <w:rPr>
          <w:rFonts w:cs="Times New Roman"/>
        </w:rPr>
        <w:t>-0.038</w:t>
      </w:r>
      <w:bookmarkEnd w:id="19"/>
      <w:r w:rsidRPr="00210C86">
        <w:rPr>
          <w:rFonts w:cs="Times New Roman"/>
        </w:rPr>
        <w:t xml:space="preserve">, which is roughly equivalent to a decrease of 3.8% per year over the 2004 to 2013 period.  </w:t>
      </w:r>
      <w:r w:rsidRPr="00F053AA">
        <w:rPr>
          <w:rFonts w:cs="Times New Roman"/>
        </w:rPr>
        <w:t xml:space="preserve">However, decimal time was no longer a significant explanatory variable for log-transformed TP concentrations (p = 0.2487; n = 287) when just the outliers were added to the original dataset (TP &gt; 1.3 mg/L, plus one sample at 1.09 mg/L that had an excessive residual </w:t>
      </w:r>
      <w:r w:rsidRPr="006579B8">
        <w:rPr>
          <w:rFonts w:cs="Times New Roman"/>
        </w:rPr>
        <w:t xml:space="preserve">error).  Therefore, excluding the 18 TP outliers (287-269 = 18) had </w:t>
      </w:r>
      <w:r w:rsidR="0087636B" w:rsidRPr="006579B8">
        <w:rPr>
          <w:rFonts w:cs="Times New Roman"/>
        </w:rPr>
        <w:t>some</w:t>
      </w:r>
      <w:r w:rsidRPr="006579B8">
        <w:rPr>
          <w:rFonts w:cs="Times New Roman"/>
        </w:rPr>
        <w:t xml:space="preserve"> effect on the resulting LN_TP regression model.  However, this doesn’t necessarily mean that there wasn’t evidence for a declining trend in TP concentrations.  It could just mean that there was a general declining trend, but a relatively small number of outliers </w:t>
      </w:r>
      <w:r w:rsidR="006579B8" w:rsidRPr="006579B8">
        <w:rPr>
          <w:rFonts w:cs="Times New Roman"/>
        </w:rPr>
        <w:t>could mask</w:t>
      </w:r>
      <w:r w:rsidRPr="006579B8">
        <w:rPr>
          <w:rFonts w:cs="Times New Roman"/>
        </w:rPr>
        <w:t xml:space="preserve"> this effect by altering the regression model in a failed attempt to </w:t>
      </w:r>
      <w:r w:rsidR="00534CAC">
        <w:rPr>
          <w:rFonts w:cs="Times New Roman"/>
        </w:rPr>
        <w:t xml:space="preserve">force it to </w:t>
      </w:r>
      <w:r w:rsidRPr="006579B8">
        <w:rPr>
          <w:rFonts w:cs="Times New Roman"/>
        </w:rPr>
        <w:t xml:space="preserve">predict outliers.  </w:t>
      </w:r>
      <w:r w:rsidRPr="006579B8">
        <w:rPr>
          <w:rFonts w:cs="Times New Roman"/>
          <w:u w:val="single"/>
        </w:rPr>
        <w:t>Still, these high TP concentrations are of concern from a water quality perspective, and should not be ignored</w:t>
      </w:r>
      <w:r w:rsidRPr="006579B8">
        <w:rPr>
          <w:rFonts w:cs="Times New Roman"/>
        </w:rPr>
        <w:t>.</w:t>
      </w:r>
    </w:p>
    <w:p w:rsidR="008B1D41" w:rsidRPr="009920AF" w:rsidRDefault="008B1D41" w:rsidP="008B1D41">
      <w:pPr>
        <w:spacing w:after="120"/>
        <w:ind w:firstLine="720"/>
        <w:rPr>
          <w:rFonts w:cs="Times New Roman"/>
        </w:rPr>
      </w:pPr>
      <w:r w:rsidRPr="00960BA2">
        <w:rPr>
          <w:rFonts w:cs="Times New Roman"/>
        </w:rPr>
        <w:t>When the censored 2008 data representing 58 water samples were instead included in th</w:t>
      </w:r>
      <w:r w:rsidRPr="00AD445F">
        <w:rPr>
          <w:rFonts w:cs="Times New Roman"/>
        </w:rPr>
        <w:t xml:space="preserve">e analysis, decimal time remained a significant explanatory variable for log-transformed </w:t>
      </w:r>
      <w:r>
        <w:rPr>
          <w:rFonts w:cs="Times New Roman"/>
        </w:rPr>
        <w:t>D</w:t>
      </w:r>
      <w:r w:rsidRPr="00AD445F">
        <w:rPr>
          <w:rFonts w:cs="Times New Roman"/>
        </w:rPr>
        <w:t>P concentrations (p &lt; 0.00</w:t>
      </w:r>
      <w:r>
        <w:rPr>
          <w:rFonts w:cs="Times New Roman"/>
        </w:rPr>
        <w:t>63</w:t>
      </w:r>
      <w:r w:rsidRPr="00AD445F">
        <w:rPr>
          <w:rFonts w:cs="Times New Roman"/>
        </w:rPr>
        <w:t xml:space="preserve">; n = </w:t>
      </w:r>
      <w:r>
        <w:rPr>
          <w:rFonts w:cs="Times New Roman"/>
        </w:rPr>
        <w:t>139</w:t>
      </w:r>
      <w:r w:rsidRPr="00AD445F">
        <w:rPr>
          <w:rFonts w:cs="Times New Roman"/>
        </w:rPr>
        <w:t>).  The slope for decimal time was -0.0</w:t>
      </w:r>
      <w:r w:rsidRPr="008B1D41">
        <w:rPr>
          <w:rFonts w:cs="Times New Roman"/>
        </w:rPr>
        <w:t xml:space="preserve">45, which is roughly equivalent to a decrease of 4.4% per year over the 2004 to 2013 period.  When outliers and the censored 2008 data were included, decimal time was no longer a significant explanatory variable for log-transformed DP concentrations (p= 0.0835; n = 145).  Decimal time was also no longer a significant explanatory variable for log-transformed TP concentrations (p = 0.0865; n = 131) when just the outliers were added to the original dataset.  </w:t>
      </w:r>
      <w:r w:rsidR="00740626">
        <w:rPr>
          <w:rFonts w:cs="Times New Roman"/>
        </w:rPr>
        <w:t>However, the slopes of the latter two tests w</w:t>
      </w:r>
      <w:r w:rsidR="00740626" w:rsidRPr="009920AF">
        <w:rPr>
          <w:rFonts w:cs="Times New Roman"/>
        </w:rPr>
        <w:t>ere nearly significant (0.05 &lt; p &lt; 0.10).   Although</w:t>
      </w:r>
      <w:r w:rsidRPr="009920AF">
        <w:rPr>
          <w:rFonts w:cs="Times New Roman"/>
        </w:rPr>
        <w:t xml:space="preserve"> excluding the censored 2008 data did not have a minimal effect on the resulting LN_DP regression model</w:t>
      </w:r>
      <w:r w:rsidR="0021663D" w:rsidRPr="009920AF">
        <w:rPr>
          <w:rFonts w:cs="Times New Roman"/>
        </w:rPr>
        <w:t xml:space="preserve">, it </w:t>
      </w:r>
      <w:r w:rsidR="0087636B" w:rsidRPr="009920AF">
        <w:rPr>
          <w:rFonts w:cs="Times New Roman"/>
        </w:rPr>
        <w:t xml:space="preserve">seems </w:t>
      </w:r>
      <w:r w:rsidR="004777DE" w:rsidRPr="009920AF">
        <w:rPr>
          <w:rFonts w:cs="Times New Roman"/>
        </w:rPr>
        <w:t xml:space="preserve">more </w:t>
      </w:r>
      <w:r w:rsidR="0087636B" w:rsidRPr="009920AF">
        <w:rPr>
          <w:rFonts w:cs="Times New Roman"/>
        </w:rPr>
        <w:t xml:space="preserve">likely that </w:t>
      </w:r>
      <w:r w:rsidR="006640EF" w:rsidRPr="009920AF">
        <w:rPr>
          <w:rFonts w:cs="Times New Roman"/>
        </w:rPr>
        <w:t>doing so was appropriate.</w:t>
      </w:r>
      <w:r w:rsidR="00740626" w:rsidRPr="009920AF">
        <w:rPr>
          <w:rFonts w:cs="Times New Roman"/>
        </w:rPr>
        <w:t xml:space="preserve"> </w:t>
      </w:r>
    </w:p>
    <w:p w:rsidR="008B1D41" w:rsidRPr="009920AF" w:rsidRDefault="008B1D41" w:rsidP="008B1D41">
      <w:pPr>
        <w:spacing w:after="120"/>
        <w:ind w:firstLine="720"/>
        <w:rPr>
          <w:rFonts w:cs="Times New Roman"/>
        </w:rPr>
      </w:pPr>
    </w:p>
    <w:p w:rsidR="005746B6" w:rsidRPr="00C81E4E" w:rsidRDefault="006D3396" w:rsidP="00B773F6">
      <w:pPr>
        <w:spacing w:after="120"/>
        <w:rPr>
          <w:rFonts w:cs="Times New Roman"/>
        </w:rPr>
      </w:pPr>
      <w:r w:rsidRPr="009920AF">
        <w:rPr>
          <w:i/>
          <w:u w:val="single"/>
        </w:rPr>
        <w:t>Did flow inadvertently produce erroneous results?</w:t>
      </w:r>
      <w:r w:rsidR="008B1D41" w:rsidRPr="009920AF">
        <w:t xml:space="preserve">: </w:t>
      </w:r>
      <w:r w:rsidR="00411449" w:rsidRPr="009920AF">
        <w:t xml:space="preserve"> </w:t>
      </w:r>
      <w:r w:rsidR="003F1EA2" w:rsidRPr="009920AF">
        <w:t>T</w:t>
      </w:r>
      <w:r w:rsidR="003F1EA2" w:rsidRPr="009920AF">
        <w:rPr>
          <w:rFonts w:cs="Times New Roman"/>
        </w:rPr>
        <w:t>he variability of the dependent variables TSS an</w:t>
      </w:r>
      <w:r w:rsidR="003F1EA2">
        <w:rPr>
          <w:rFonts w:cs="Times New Roman"/>
        </w:rPr>
        <w:t xml:space="preserve">d phosphorus  as they relate to flow </w:t>
      </w:r>
      <w:r w:rsidR="003F1EA2" w:rsidRPr="00C81E4E">
        <w:rPr>
          <w:rFonts w:cs="Times New Roman"/>
        </w:rPr>
        <w:t>should presumably be factored into the regression equations</w:t>
      </w:r>
      <w:r w:rsidR="003F1EA2">
        <w:rPr>
          <w:rFonts w:cs="Times New Roman"/>
        </w:rPr>
        <w:t xml:space="preserve">.  </w:t>
      </w:r>
      <w:r w:rsidR="00A97601">
        <w:rPr>
          <w:rFonts w:cs="Times New Roman"/>
        </w:rPr>
        <w:t>However</w:t>
      </w:r>
      <w:r w:rsidR="00EE50EE" w:rsidRPr="00C81E4E">
        <w:rPr>
          <w:rFonts w:cs="Times New Roman"/>
        </w:rPr>
        <w:t xml:space="preserve">, </w:t>
      </w:r>
      <w:r w:rsidR="00042D21">
        <w:rPr>
          <w:rFonts w:cs="Times New Roman"/>
        </w:rPr>
        <w:t xml:space="preserve">it is possible that </w:t>
      </w:r>
      <w:r w:rsidR="004F297F" w:rsidRPr="00C81E4E">
        <w:rPr>
          <w:rFonts w:cs="Times New Roman"/>
        </w:rPr>
        <w:t>the regression models m</w:t>
      </w:r>
      <w:r w:rsidR="00A97601">
        <w:rPr>
          <w:rFonts w:cs="Times New Roman"/>
        </w:rPr>
        <w:t>ay</w:t>
      </w:r>
      <w:r w:rsidR="004F297F" w:rsidRPr="00C81E4E">
        <w:rPr>
          <w:rFonts w:cs="Times New Roman"/>
        </w:rPr>
        <w:t xml:space="preserve"> have </w:t>
      </w:r>
      <w:r w:rsidR="006C15D7" w:rsidRPr="00C81E4E">
        <w:rPr>
          <w:rFonts w:cs="Times New Roman"/>
        </w:rPr>
        <w:t>alter</w:t>
      </w:r>
      <w:r w:rsidR="00411449">
        <w:rPr>
          <w:rFonts w:cs="Times New Roman"/>
        </w:rPr>
        <w:t xml:space="preserve">ed </w:t>
      </w:r>
      <w:r w:rsidR="004F297F" w:rsidRPr="00C81E4E">
        <w:rPr>
          <w:rFonts w:cs="Times New Roman"/>
        </w:rPr>
        <w:t xml:space="preserve">the flow-adjusted TSS or TP concentrations </w:t>
      </w:r>
      <w:r w:rsidR="00C11577" w:rsidRPr="00C81E4E">
        <w:rPr>
          <w:rFonts w:cs="Times New Roman"/>
        </w:rPr>
        <w:t>disproportionally during the evaluated 2004 to 2013 record</w:t>
      </w:r>
      <w:r w:rsidR="00084E64">
        <w:rPr>
          <w:rFonts w:cs="Times New Roman"/>
        </w:rPr>
        <w:t xml:space="preserve">, such that statistical analysis would show a significant trend when </w:t>
      </w:r>
      <w:r w:rsidR="00E83646">
        <w:rPr>
          <w:rFonts w:cs="Times New Roman"/>
        </w:rPr>
        <w:t>none existed</w:t>
      </w:r>
      <w:r w:rsidR="00084E64">
        <w:rPr>
          <w:rFonts w:cs="Times New Roman"/>
        </w:rPr>
        <w:t>.</w:t>
      </w:r>
      <w:r w:rsidR="004F297F" w:rsidRPr="00C81E4E">
        <w:rPr>
          <w:rFonts w:cs="Times New Roman"/>
        </w:rPr>
        <w:t xml:space="preserve">  This issue was of particular concern because the median flows </w:t>
      </w:r>
      <w:r w:rsidR="00F7769A" w:rsidRPr="00C81E4E">
        <w:rPr>
          <w:rFonts w:cs="Times New Roman"/>
        </w:rPr>
        <w:t>associated with water samples collected during</w:t>
      </w:r>
      <w:r w:rsidR="004F297F" w:rsidRPr="00C81E4E">
        <w:rPr>
          <w:rFonts w:cs="Times New Roman"/>
        </w:rPr>
        <w:t xml:space="preserve"> the WY 2004 to 200</w:t>
      </w:r>
      <w:r w:rsidR="00BC5FB9">
        <w:rPr>
          <w:rFonts w:cs="Times New Roman"/>
        </w:rPr>
        <w:t>7</w:t>
      </w:r>
      <w:r w:rsidR="004F297F" w:rsidRPr="00C81E4E">
        <w:rPr>
          <w:rFonts w:cs="Times New Roman"/>
        </w:rPr>
        <w:t xml:space="preserve"> period</w:t>
      </w:r>
      <w:r w:rsidR="00F7769A" w:rsidRPr="00C81E4E">
        <w:rPr>
          <w:rFonts w:cs="Times New Roman"/>
        </w:rPr>
        <w:t xml:space="preserve"> were </w:t>
      </w:r>
      <w:r w:rsidR="00BC5FB9">
        <w:rPr>
          <w:rFonts w:cs="Times New Roman"/>
        </w:rPr>
        <w:t xml:space="preserve">significantly </w:t>
      </w:r>
      <w:r w:rsidR="00F7769A" w:rsidRPr="00C81E4E">
        <w:rPr>
          <w:rFonts w:cs="Times New Roman"/>
        </w:rPr>
        <w:t xml:space="preserve">greater than those collected </w:t>
      </w:r>
      <w:r w:rsidR="00A97601">
        <w:rPr>
          <w:rFonts w:cs="Times New Roman"/>
        </w:rPr>
        <w:t xml:space="preserve">later </w:t>
      </w:r>
      <w:r w:rsidR="00F7769A" w:rsidRPr="00C81E4E">
        <w:rPr>
          <w:rFonts w:cs="Times New Roman"/>
        </w:rPr>
        <w:t>during WY 2010 to 2013</w:t>
      </w:r>
      <w:r w:rsidR="00BC5FB9">
        <w:rPr>
          <w:rFonts w:cs="Times New Roman"/>
        </w:rPr>
        <w:t xml:space="preserve"> (p = 0.004</w:t>
      </w:r>
      <w:r w:rsidR="00534CAC">
        <w:rPr>
          <w:rFonts w:cs="Times New Roman"/>
        </w:rPr>
        <w:t>;</w:t>
      </w:r>
      <w:r w:rsidR="00BC5FB9">
        <w:rPr>
          <w:rFonts w:cs="Times New Roman"/>
        </w:rPr>
        <w:t xml:space="preserve"> </w:t>
      </w:r>
      <w:r w:rsidR="00534CAC">
        <w:rPr>
          <w:rFonts w:cs="Times New Roman"/>
        </w:rPr>
        <w:t xml:space="preserve">see </w:t>
      </w:r>
      <w:r w:rsidR="00BC5FB9">
        <w:rPr>
          <w:rFonts w:cs="Times New Roman"/>
        </w:rPr>
        <w:t xml:space="preserve">Table </w:t>
      </w:r>
      <w:r w:rsidR="0054688C">
        <w:rPr>
          <w:rFonts w:cs="Times New Roman"/>
        </w:rPr>
        <w:t>4</w:t>
      </w:r>
      <w:r w:rsidR="00534CAC">
        <w:rPr>
          <w:rFonts w:cs="Times New Roman"/>
        </w:rPr>
        <w:t xml:space="preserve"> later in report</w:t>
      </w:r>
      <w:r w:rsidR="00BC5FB9">
        <w:rPr>
          <w:rFonts w:cs="Times New Roman"/>
        </w:rPr>
        <w:t>, all flow column)</w:t>
      </w:r>
      <w:r w:rsidR="00F7769A" w:rsidRPr="00C81E4E">
        <w:rPr>
          <w:rFonts w:cs="Times New Roman"/>
        </w:rPr>
        <w:t>.</w:t>
      </w:r>
      <w:r w:rsidR="004F297F" w:rsidRPr="00C81E4E">
        <w:rPr>
          <w:rFonts w:cs="Times New Roman"/>
        </w:rPr>
        <w:t xml:space="preserve"> </w:t>
      </w:r>
      <w:r w:rsidR="002D5148" w:rsidRPr="00C81E4E">
        <w:rPr>
          <w:rFonts w:cs="Times New Roman"/>
        </w:rPr>
        <w:t xml:space="preserve"> </w:t>
      </w:r>
      <w:r w:rsidR="00564853" w:rsidRPr="00C81E4E">
        <w:rPr>
          <w:rFonts w:cs="Times New Roman"/>
        </w:rPr>
        <w:t xml:space="preserve">Plus, t-values listed in Table 1 indicate that the </w:t>
      </w:r>
      <w:r w:rsidR="006C15D7" w:rsidRPr="00C81E4E">
        <w:rPr>
          <w:rFonts w:cs="Times New Roman"/>
        </w:rPr>
        <w:t>LN_Q and LN_Q</w:t>
      </w:r>
      <w:r w:rsidR="006C15D7" w:rsidRPr="00C81E4E">
        <w:rPr>
          <w:rFonts w:cs="Times New Roman"/>
          <w:vertAlign w:val="superscript"/>
        </w:rPr>
        <w:t>2</w:t>
      </w:r>
      <w:r w:rsidR="006C15D7" w:rsidRPr="00C81E4E">
        <w:rPr>
          <w:rFonts w:cs="Times New Roman"/>
        </w:rPr>
        <w:t xml:space="preserve"> </w:t>
      </w:r>
      <w:r w:rsidR="00C93F4F">
        <w:rPr>
          <w:rFonts w:cs="Times New Roman"/>
        </w:rPr>
        <w:t xml:space="preserve">flow-related </w:t>
      </w:r>
      <w:r w:rsidR="006C15D7" w:rsidRPr="00C81E4E">
        <w:rPr>
          <w:rFonts w:cs="Times New Roman"/>
        </w:rPr>
        <w:t>v</w:t>
      </w:r>
      <w:r w:rsidR="00564853" w:rsidRPr="00C81E4E">
        <w:rPr>
          <w:rFonts w:cs="Times New Roman"/>
        </w:rPr>
        <w:t xml:space="preserve">ariables </w:t>
      </w:r>
      <w:r w:rsidR="005746B6" w:rsidRPr="00C81E4E">
        <w:rPr>
          <w:rFonts w:cs="Times New Roman"/>
        </w:rPr>
        <w:t>explained a large portion of the variability in the regression models</w:t>
      </w:r>
      <w:r w:rsidR="00C93F4F">
        <w:rPr>
          <w:rFonts w:cs="Times New Roman"/>
        </w:rPr>
        <w:t xml:space="preserve">, so </w:t>
      </w:r>
      <w:r w:rsidR="00AF0393">
        <w:rPr>
          <w:rFonts w:cs="Times New Roman"/>
        </w:rPr>
        <w:t xml:space="preserve">output from the </w:t>
      </w:r>
      <w:r w:rsidR="00024997">
        <w:rPr>
          <w:rFonts w:cs="Times New Roman"/>
        </w:rPr>
        <w:t xml:space="preserve">chosen regression models would be </w:t>
      </w:r>
      <w:r w:rsidR="00305CEA">
        <w:rPr>
          <w:rFonts w:cs="Times New Roman"/>
        </w:rPr>
        <w:t xml:space="preserve">fairly </w:t>
      </w:r>
      <w:r w:rsidR="00024997">
        <w:rPr>
          <w:rFonts w:cs="Times New Roman"/>
        </w:rPr>
        <w:t xml:space="preserve">sensitive </w:t>
      </w:r>
      <w:r w:rsidR="00AF0393">
        <w:rPr>
          <w:rFonts w:cs="Times New Roman"/>
        </w:rPr>
        <w:t>to</w:t>
      </w:r>
      <w:r w:rsidR="00C93F4F">
        <w:rPr>
          <w:rFonts w:cs="Times New Roman"/>
        </w:rPr>
        <w:t xml:space="preserve"> </w:t>
      </w:r>
      <w:r w:rsidR="002D6EDC">
        <w:rPr>
          <w:rFonts w:cs="Times New Roman"/>
        </w:rPr>
        <w:t>whether flow was correctly accounted for in the model</w:t>
      </w:r>
      <w:r w:rsidR="005746B6" w:rsidRPr="00C81E4E">
        <w:rPr>
          <w:rFonts w:cs="Times New Roman"/>
        </w:rPr>
        <w:t xml:space="preserve"> (t-values ra</w:t>
      </w:r>
      <w:r w:rsidR="009237D4" w:rsidRPr="00C81E4E">
        <w:rPr>
          <w:rFonts w:cs="Times New Roman"/>
        </w:rPr>
        <w:t xml:space="preserve">nged from </w:t>
      </w:r>
      <w:r w:rsidR="005746B6" w:rsidRPr="00C81E4E">
        <w:rPr>
          <w:rFonts w:cs="Times New Roman"/>
        </w:rPr>
        <w:t xml:space="preserve">7.8 </w:t>
      </w:r>
      <w:r w:rsidR="009237D4" w:rsidRPr="00C81E4E">
        <w:rPr>
          <w:rFonts w:cs="Times New Roman"/>
        </w:rPr>
        <w:t xml:space="preserve">to </w:t>
      </w:r>
      <w:r w:rsidR="005746B6" w:rsidRPr="00C81E4E">
        <w:rPr>
          <w:rFonts w:cs="Times New Roman"/>
        </w:rPr>
        <w:t>19.9</w:t>
      </w:r>
      <w:r w:rsidR="009237D4" w:rsidRPr="00C81E4E">
        <w:rPr>
          <w:rFonts w:cs="Times New Roman"/>
        </w:rPr>
        <w:t xml:space="preserve"> for LN_Q and LN_Q</w:t>
      </w:r>
      <w:r w:rsidR="009237D4" w:rsidRPr="00C81E4E">
        <w:rPr>
          <w:rFonts w:cs="Times New Roman"/>
          <w:vertAlign w:val="superscript"/>
        </w:rPr>
        <w:t>2</w:t>
      </w:r>
      <w:r w:rsidR="005746B6" w:rsidRPr="00C81E4E">
        <w:rPr>
          <w:rFonts w:cs="Times New Roman"/>
        </w:rPr>
        <w:t>).</w:t>
      </w:r>
    </w:p>
    <w:p w:rsidR="004F297F" w:rsidRPr="00C81E4E" w:rsidRDefault="00F7769A" w:rsidP="00B773F6">
      <w:pPr>
        <w:spacing w:after="120"/>
        <w:ind w:firstLine="720"/>
        <w:rPr>
          <w:rFonts w:cs="Times New Roman"/>
        </w:rPr>
      </w:pPr>
      <w:r w:rsidRPr="00C81E4E">
        <w:rPr>
          <w:rFonts w:cs="Times New Roman"/>
        </w:rPr>
        <w:t xml:space="preserve">Therefore, </w:t>
      </w:r>
      <w:r w:rsidR="00052779" w:rsidRPr="00C81E4E">
        <w:rPr>
          <w:rFonts w:cs="Times New Roman"/>
        </w:rPr>
        <w:t xml:space="preserve">two approaches were taken </w:t>
      </w:r>
      <w:r w:rsidRPr="00C81E4E">
        <w:rPr>
          <w:rFonts w:cs="Times New Roman"/>
        </w:rPr>
        <w:t xml:space="preserve">to further investigate the initial regression results </w:t>
      </w:r>
      <w:r w:rsidR="0052558E" w:rsidRPr="00C81E4E">
        <w:rPr>
          <w:rFonts w:cs="Times New Roman"/>
        </w:rPr>
        <w:t>with regards to flow</w:t>
      </w:r>
      <w:r w:rsidR="00052779" w:rsidRPr="00C81E4E">
        <w:rPr>
          <w:rFonts w:cs="Times New Roman"/>
        </w:rPr>
        <w:t xml:space="preserve">: 1) </w:t>
      </w:r>
      <w:r w:rsidRPr="00C81E4E">
        <w:rPr>
          <w:rFonts w:cs="Times New Roman"/>
        </w:rPr>
        <w:t xml:space="preserve">the same regression model was applied to predict log-transformed TSS </w:t>
      </w:r>
      <w:r w:rsidRPr="00C81E4E">
        <w:rPr>
          <w:rFonts w:cs="Times New Roman"/>
        </w:rPr>
        <w:lastRenderedPageBreak/>
        <w:t>and TP concentrations under varying flow censoring scenarios</w:t>
      </w:r>
      <w:r w:rsidR="00052779" w:rsidRPr="00C81E4E">
        <w:rPr>
          <w:rFonts w:cs="Times New Roman"/>
        </w:rPr>
        <w:t xml:space="preserve">; and 2) the regression model was applied without </w:t>
      </w:r>
      <w:r w:rsidR="00EE50EE" w:rsidRPr="00C81E4E">
        <w:rPr>
          <w:rFonts w:cs="Times New Roman"/>
        </w:rPr>
        <w:t xml:space="preserve">the </w:t>
      </w:r>
      <w:r w:rsidR="00475615" w:rsidRPr="00C81E4E">
        <w:rPr>
          <w:rFonts w:cs="Times New Roman"/>
        </w:rPr>
        <w:t>independent variables</w:t>
      </w:r>
      <w:r w:rsidR="00052779" w:rsidRPr="00C81E4E">
        <w:rPr>
          <w:rFonts w:cs="Times New Roman"/>
        </w:rPr>
        <w:t xml:space="preserve"> </w:t>
      </w:r>
      <w:r w:rsidR="00EE50EE" w:rsidRPr="00C81E4E">
        <w:rPr>
          <w:rFonts w:cs="Times New Roman"/>
        </w:rPr>
        <w:t>flow, flow-squared or seasonality (LN_Q, LN_Q2, sine/cosine)</w:t>
      </w:r>
      <w:r w:rsidRPr="00C81E4E">
        <w:rPr>
          <w:rFonts w:cs="Times New Roman"/>
        </w:rPr>
        <w:t xml:space="preserve">. </w:t>
      </w:r>
    </w:p>
    <w:p w:rsidR="006D3396" w:rsidRPr="00C81E4E" w:rsidRDefault="006D3396" w:rsidP="006D3396">
      <w:pPr>
        <w:spacing w:after="120"/>
        <w:ind w:firstLine="720"/>
        <w:rPr>
          <w:rFonts w:cs="Times New Roman"/>
        </w:rPr>
      </w:pPr>
    </w:p>
    <w:p w:rsidR="00FB503E" w:rsidRPr="00C81E4E" w:rsidRDefault="006D3396" w:rsidP="006D3396">
      <w:pPr>
        <w:spacing w:after="120"/>
        <w:rPr>
          <w:rFonts w:cs="Times New Roman"/>
        </w:rPr>
      </w:pPr>
      <w:r w:rsidRPr="00C81E4E">
        <w:rPr>
          <w:i/>
          <w:u w:val="single"/>
        </w:rPr>
        <w:t>Regression</w:t>
      </w:r>
      <w:r w:rsidR="002F14A0">
        <w:rPr>
          <w:i/>
          <w:u w:val="single"/>
        </w:rPr>
        <w:t xml:space="preserve"> analyses</w:t>
      </w:r>
      <w:r w:rsidRPr="00C81E4E">
        <w:rPr>
          <w:i/>
          <w:u w:val="single"/>
        </w:rPr>
        <w:t xml:space="preserve"> under different flow censoring scenarios</w:t>
      </w:r>
      <w:r w:rsidRPr="00C81E4E">
        <w:t xml:space="preserve">: </w:t>
      </w:r>
      <w:r w:rsidR="00797DFA" w:rsidRPr="00C81E4E">
        <w:rPr>
          <w:rFonts w:cs="Times New Roman"/>
        </w:rPr>
        <w:t>A portion of t</w:t>
      </w:r>
      <w:r w:rsidR="00C73C8F" w:rsidRPr="00C81E4E">
        <w:rPr>
          <w:rFonts w:cs="Times New Roman"/>
        </w:rPr>
        <w:t xml:space="preserve">he results </w:t>
      </w:r>
      <w:r w:rsidR="00797DFA" w:rsidRPr="00C81E4E">
        <w:rPr>
          <w:rFonts w:cs="Times New Roman"/>
        </w:rPr>
        <w:t xml:space="preserve">from </w:t>
      </w:r>
      <w:r w:rsidR="00C73C8F" w:rsidRPr="00C81E4E">
        <w:rPr>
          <w:rFonts w:cs="Times New Roman"/>
        </w:rPr>
        <w:t>th</w:t>
      </w:r>
      <w:r w:rsidRPr="00C81E4E">
        <w:rPr>
          <w:rFonts w:cs="Times New Roman"/>
        </w:rPr>
        <w:t xml:space="preserve">e flow censoring </w:t>
      </w:r>
      <w:r w:rsidR="00C73C8F" w:rsidRPr="00C81E4E">
        <w:rPr>
          <w:rFonts w:cs="Times New Roman"/>
        </w:rPr>
        <w:t xml:space="preserve">analysis are summarized in </w:t>
      </w:r>
      <w:r w:rsidR="00DA4231" w:rsidRPr="00C81E4E">
        <w:rPr>
          <w:rFonts w:cs="Times New Roman"/>
        </w:rPr>
        <w:t>Table 2.</w:t>
      </w:r>
      <w:r w:rsidR="00C73C8F" w:rsidRPr="00C81E4E">
        <w:rPr>
          <w:rFonts w:cs="Times New Roman"/>
        </w:rPr>
        <w:t xml:space="preserve">  </w:t>
      </w:r>
      <w:r w:rsidR="002D5148" w:rsidRPr="00C81E4E">
        <w:rPr>
          <w:rFonts w:cs="Times New Roman"/>
        </w:rPr>
        <w:t xml:space="preserve">For the LN_TSS regression model, decimal time was a significant explanatory variable (p &lt; 0.05) under all flow censoring scenarios, except when samples collected under flows of less than 75 cfs were the only ones included in the analysis (p ~ 0.10), which nearly qualifies as a weak significant explanatory variably if a lower standard for statistical significance had been selected for this analysis.  </w:t>
      </w:r>
      <w:r w:rsidR="00C73C8F" w:rsidRPr="00C81E4E">
        <w:rPr>
          <w:rFonts w:cs="Times New Roman"/>
        </w:rPr>
        <w:t>D</w:t>
      </w:r>
      <w:r w:rsidR="00797DFA" w:rsidRPr="00C81E4E">
        <w:rPr>
          <w:rFonts w:cs="Times New Roman"/>
        </w:rPr>
        <w:t>ecimal time (date)</w:t>
      </w:r>
      <w:r w:rsidR="00C73C8F" w:rsidRPr="00C81E4E">
        <w:rPr>
          <w:rFonts w:cs="Times New Roman"/>
        </w:rPr>
        <w:t xml:space="preserve"> was a significant explanatory variable (p &lt; 0.05) </w:t>
      </w:r>
      <w:r w:rsidR="00B30BB7" w:rsidRPr="00C81E4E">
        <w:rPr>
          <w:rFonts w:cs="Times New Roman"/>
        </w:rPr>
        <w:t>for</w:t>
      </w:r>
      <w:r w:rsidR="00C73C8F" w:rsidRPr="00C81E4E">
        <w:rPr>
          <w:rFonts w:cs="Times New Roman"/>
        </w:rPr>
        <w:t xml:space="preserve"> </w:t>
      </w:r>
      <w:r w:rsidR="00B30BB7" w:rsidRPr="00C81E4E">
        <w:rPr>
          <w:rFonts w:cs="Times New Roman"/>
        </w:rPr>
        <w:t xml:space="preserve">the LN_TP regression model under </w:t>
      </w:r>
      <w:r w:rsidR="00C73C8F" w:rsidRPr="00C81E4E">
        <w:rPr>
          <w:rFonts w:cs="Times New Roman"/>
        </w:rPr>
        <w:t>all flow censoring scenarios</w:t>
      </w:r>
      <w:r w:rsidR="00B30BB7" w:rsidRPr="00C81E4E">
        <w:rPr>
          <w:rFonts w:cs="Times New Roman"/>
        </w:rPr>
        <w:t xml:space="preserve">.  </w:t>
      </w:r>
    </w:p>
    <w:p w:rsidR="00C73C8F" w:rsidRDefault="00C73C8F" w:rsidP="00FB503E">
      <w:pPr>
        <w:spacing w:after="120"/>
        <w:ind w:firstLine="720"/>
        <w:rPr>
          <w:rFonts w:cs="Times New Roman"/>
        </w:rPr>
      </w:pPr>
      <w:r w:rsidRPr="00C81E4E">
        <w:rPr>
          <w:rFonts w:cs="Times New Roman"/>
        </w:rPr>
        <w:t>The mi</w:t>
      </w:r>
      <w:r>
        <w:rPr>
          <w:rFonts w:cs="Times New Roman"/>
        </w:rPr>
        <w:t xml:space="preserve">nus sign for the leading coefficient associated with </w:t>
      </w:r>
      <w:r w:rsidR="00797DFA">
        <w:rPr>
          <w:rFonts w:cs="Times New Roman"/>
        </w:rPr>
        <w:t>the decimal time</w:t>
      </w:r>
      <w:r>
        <w:rPr>
          <w:rFonts w:cs="Times New Roman"/>
        </w:rPr>
        <w:t xml:space="preserve"> variable indicates a declining trend in TSS and TP concentrations from WY 2004 to 2013.</w:t>
      </w:r>
      <w:r w:rsidR="00FB503E">
        <w:rPr>
          <w:rFonts w:cs="Times New Roman"/>
        </w:rPr>
        <w:t xml:space="preserve">  </w:t>
      </w:r>
      <w:r w:rsidR="00EA0640">
        <w:rPr>
          <w:rFonts w:cs="Times New Roman"/>
        </w:rPr>
        <w:t>T</w:t>
      </w:r>
      <w:r w:rsidR="002D5148" w:rsidRPr="00A002ED">
        <w:rPr>
          <w:rFonts w:cs="Times New Roman"/>
        </w:rPr>
        <w:t xml:space="preserve">he </w:t>
      </w:r>
      <w:r w:rsidR="002D5148">
        <w:rPr>
          <w:rFonts w:cs="Times New Roman"/>
        </w:rPr>
        <w:t xml:space="preserve">range in </w:t>
      </w:r>
      <w:r w:rsidR="002D5148" w:rsidRPr="00A002ED">
        <w:rPr>
          <w:rFonts w:cs="Times New Roman"/>
        </w:rPr>
        <w:t>slope</w:t>
      </w:r>
      <w:r w:rsidR="002D5148">
        <w:rPr>
          <w:rFonts w:cs="Times New Roman"/>
        </w:rPr>
        <w:t>s</w:t>
      </w:r>
      <w:r w:rsidR="002D5148" w:rsidRPr="00A002ED">
        <w:rPr>
          <w:rFonts w:cs="Times New Roman"/>
        </w:rPr>
        <w:t xml:space="preserve"> for decimal time </w:t>
      </w:r>
      <w:r w:rsidR="002D5148">
        <w:rPr>
          <w:rFonts w:cs="Times New Roman"/>
        </w:rPr>
        <w:t>w</w:t>
      </w:r>
      <w:r w:rsidR="00B943DF">
        <w:rPr>
          <w:rFonts w:cs="Times New Roman"/>
        </w:rPr>
        <w:t>as</w:t>
      </w:r>
      <w:r w:rsidR="002D5148" w:rsidRPr="00A002ED">
        <w:rPr>
          <w:rFonts w:cs="Times New Roman"/>
        </w:rPr>
        <w:t xml:space="preserve"> roughly equivalent to a decrease of </w:t>
      </w:r>
      <w:r w:rsidR="00EA0640">
        <w:rPr>
          <w:rFonts w:cs="Times New Roman"/>
        </w:rPr>
        <w:t>4</w:t>
      </w:r>
      <w:r w:rsidR="002D5148" w:rsidRPr="00A002ED">
        <w:rPr>
          <w:rFonts w:cs="Times New Roman"/>
        </w:rPr>
        <w:t xml:space="preserve">% </w:t>
      </w:r>
      <w:r w:rsidR="00EA0640">
        <w:rPr>
          <w:rFonts w:cs="Times New Roman"/>
        </w:rPr>
        <w:t xml:space="preserve">and 5% </w:t>
      </w:r>
      <w:r w:rsidR="002D5148" w:rsidRPr="00A002ED">
        <w:rPr>
          <w:rFonts w:cs="Times New Roman"/>
        </w:rPr>
        <w:t xml:space="preserve">per year </w:t>
      </w:r>
      <w:r w:rsidR="002D5148">
        <w:rPr>
          <w:rFonts w:cs="Times New Roman"/>
        </w:rPr>
        <w:t>in T</w:t>
      </w:r>
      <w:r w:rsidR="00B943DF">
        <w:rPr>
          <w:rFonts w:cs="Times New Roman"/>
        </w:rPr>
        <w:t>P</w:t>
      </w:r>
      <w:r w:rsidR="002D5148">
        <w:rPr>
          <w:rFonts w:cs="Times New Roman"/>
        </w:rPr>
        <w:t xml:space="preserve"> </w:t>
      </w:r>
      <w:r w:rsidR="00EA0640">
        <w:rPr>
          <w:rFonts w:cs="Times New Roman"/>
        </w:rPr>
        <w:t>and T</w:t>
      </w:r>
      <w:r w:rsidR="00B943DF">
        <w:rPr>
          <w:rFonts w:cs="Times New Roman"/>
        </w:rPr>
        <w:t>SS</w:t>
      </w:r>
      <w:r w:rsidR="00EA0640">
        <w:rPr>
          <w:rFonts w:cs="Times New Roman"/>
        </w:rPr>
        <w:t xml:space="preserve"> </w:t>
      </w:r>
      <w:r w:rsidR="002D5148">
        <w:rPr>
          <w:rFonts w:cs="Times New Roman"/>
        </w:rPr>
        <w:t>concentrations</w:t>
      </w:r>
      <w:r w:rsidR="00EA0640">
        <w:rPr>
          <w:rFonts w:cs="Times New Roman"/>
        </w:rPr>
        <w:t>, respectively</w:t>
      </w:r>
      <w:r w:rsidR="002D5148">
        <w:rPr>
          <w:rFonts w:cs="Times New Roman"/>
        </w:rPr>
        <w:t xml:space="preserve"> </w:t>
      </w:r>
      <w:r w:rsidR="002D5148" w:rsidRPr="00A002ED">
        <w:rPr>
          <w:rFonts w:cs="Times New Roman"/>
        </w:rPr>
        <w:t>over the 2004 to 2013 period.</w:t>
      </w:r>
      <w:r w:rsidR="00EA0640">
        <w:rPr>
          <w:rFonts w:cs="Times New Roman"/>
        </w:rPr>
        <w:t xml:space="preserve">  </w:t>
      </w:r>
      <w:r w:rsidR="00A47DEC">
        <w:rPr>
          <w:rFonts w:cs="Times New Roman"/>
        </w:rPr>
        <w:t xml:space="preserve">Therefore, </w:t>
      </w:r>
      <w:r w:rsidR="00FB503E">
        <w:rPr>
          <w:rFonts w:cs="Times New Roman"/>
        </w:rPr>
        <w:t xml:space="preserve">results </w:t>
      </w:r>
      <w:r w:rsidR="00B60A9C">
        <w:rPr>
          <w:rFonts w:cs="Times New Roman"/>
        </w:rPr>
        <w:t xml:space="preserve">from the </w:t>
      </w:r>
      <w:r w:rsidR="00EE295E">
        <w:rPr>
          <w:rFonts w:cs="Times New Roman"/>
        </w:rPr>
        <w:t xml:space="preserve">flow censoring scenarios </w:t>
      </w:r>
      <w:r w:rsidR="00FB503E">
        <w:rPr>
          <w:rFonts w:cs="Times New Roman"/>
        </w:rPr>
        <w:t>seem to support the original finding</w:t>
      </w:r>
      <w:r w:rsidR="009352EB">
        <w:rPr>
          <w:rFonts w:cs="Times New Roman"/>
        </w:rPr>
        <w:t xml:space="preserve"> that TSS and TP concentrations have likely decreased over the 2004 to 2013 record.</w:t>
      </w:r>
      <w:r w:rsidR="00FB503E">
        <w:rPr>
          <w:rFonts w:cs="Times New Roman"/>
        </w:rPr>
        <w:t xml:space="preserve"> </w:t>
      </w:r>
    </w:p>
    <w:p w:rsidR="00DA4231" w:rsidRDefault="00DA4231" w:rsidP="00996328">
      <w:pPr>
        <w:rPr>
          <w:rFonts w:cs="Times New Roman"/>
        </w:rPr>
      </w:pPr>
    </w:p>
    <w:p w:rsidR="00534A10" w:rsidRDefault="00534A10" w:rsidP="00534A10">
      <w:pPr>
        <w:pStyle w:val="Caption"/>
        <w:keepNext/>
      </w:pPr>
      <w:r>
        <w:t>Table 2.</w:t>
      </w:r>
      <w:r w:rsidR="0087219B">
        <w:t xml:space="preserve"> </w:t>
      </w:r>
      <w:r w:rsidRPr="00534A10">
        <w:t xml:space="preserve"> Regression model </w:t>
      </w:r>
      <w:r>
        <w:t>t-values</w:t>
      </w:r>
      <w:r w:rsidRPr="00534A10">
        <w:t>, P-values</w:t>
      </w:r>
      <w:r w:rsidR="003E5E17">
        <w:t xml:space="preserve">, and </w:t>
      </w:r>
      <w:r w:rsidRPr="00534A10">
        <w:t xml:space="preserve">coefficients </w:t>
      </w:r>
      <w:r w:rsidR="003E5E17">
        <w:t xml:space="preserve">of the decimal time variable (date) </w:t>
      </w:r>
      <w:r w:rsidRPr="00534A10">
        <w:t>in the Duck</w:t>
      </w:r>
      <w:r>
        <w:t xml:space="preserve"> </w:t>
      </w:r>
      <w:r w:rsidRPr="00534A10">
        <w:t>Creek log-transformed total suspended solids (</w:t>
      </w:r>
      <w:r w:rsidR="002F14A0">
        <w:t>LN_</w:t>
      </w:r>
      <w:r w:rsidRPr="00534A10">
        <w:t>TSS) and total phosphorus (</w:t>
      </w:r>
      <w:r w:rsidR="002F14A0">
        <w:t>LN_</w:t>
      </w:r>
      <w:r w:rsidRPr="00534A10">
        <w:t xml:space="preserve">TP) regression models </w:t>
      </w:r>
      <w:r w:rsidRPr="00B947C9">
        <w:t>under different flow censoring scenarios</w:t>
      </w:r>
      <w:r w:rsidRPr="00534A10">
        <w:t xml:space="preserve"> for the 2004 to 201</w:t>
      </w:r>
      <w:r w:rsidR="00797DFA">
        <w:t>3</w:t>
      </w:r>
      <w:r w:rsidRPr="00534A10">
        <w:t xml:space="preserve"> period (USGS water years).</w:t>
      </w:r>
      <w:r>
        <w:t xml:space="preserve"> </w:t>
      </w:r>
      <w:r w:rsidR="0034384E">
        <w:t xml:space="preserve"> </w:t>
      </w:r>
      <w:r w:rsidR="002F14A0">
        <w:t>Number of samples in the f</w:t>
      </w:r>
      <w:r w:rsidR="0034384E">
        <w:t>low scenarios vary from including all samples (n=2</w:t>
      </w:r>
      <w:r w:rsidR="00957AB2">
        <w:t>69</w:t>
      </w:r>
      <w:r w:rsidR="0034384E">
        <w:t>) to only those collected when the flow was less than 75 cfs (n = 11</w:t>
      </w:r>
      <w:r w:rsidR="00957AB2">
        <w:t>5</w:t>
      </w:r>
      <w:r w:rsidR="0034384E">
        <w:t xml:space="preserve">). </w:t>
      </w:r>
      <w:r w:rsidR="00534CAC">
        <w:t xml:space="preserve"> </w:t>
      </w:r>
      <w:r w:rsidR="00534CAC" w:rsidRPr="00534CAC">
        <w:t xml:space="preserve">Significance levels of the </w:t>
      </w:r>
      <w:r w:rsidR="00534CAC">
        <w:t xml:space="preserve">slope of decimal time are </w:t>
      </w:r>
      <w:r w:rsidR="00534CAC" w:rsidRPr="00404E08">
        <w:rPr>
          <w:i/>
        </w:rPr>
        <w:t>italicized</w:t>
      </w:r>
      <w:r w:rsidR="00534CAC">
        <w:t xml:space="preserve"> when significant (p &lt; 0.05).</w:t>
      </w:r>
    </w:p>
    <w:tbl>
      <w:tblPr>
        <w:tblW w:w="0" w:type="auto"/>
        <w:jc w:val="center"/>
        <w:tblLayout w:type="fixed"/>
        <w:tblLook w:val="0000" w:firstRow="0" w:lastRow="0" w:firstColumn="0" w:lastColumn="0" w:noHBand="0" w:noVBand="0"/>
      </w:tblPr>
      <w:tblGrid>
        <w:gridCol w:w="1193"/>
        <w:gridCol w:w="1032"/>
        <w:gridCol w:w="1296"/>
        <w:gridCol w:w="1272"/>
        <w:gridCol w:w="1267"/>
      </w:tblGrid>
      <w:tr w:rsidR="0087219B" w:rsidRPr="00534A10" w:rsidTr="00E6499D">
        <w:trPr>
          <w:trHeight w:val="305"/>
          <w:jc w:val="center"/>
        </w:trPr>
        <w:tc>
          <w:tcPr>
            <w:tcW w:w="1193" w:type="dxa"/>
            <w:tcBorders>
              <w:top w:val="single" w:sz="2" w:space="0" w:color="000000"/>
              <w:left w:val="single" w:sz="2" w:space="0" w:color="000000"/>
              <w:bottom w:val="single" w:sz="2" w:space="0" w:color="000000"/>
              <w:right w:val="single" w:sz="2" w:space="0" w:color="000000"/>
            </w:tcBorders>
            <w:vAlign w:val="center"/>
          </w:tcPr>
          <w:p w:rsidR="0087219B" w:rsidRPr="00E6499D" w:rsidRDefault="0087219B" w:rsidP="00797DFA">
            <w:pPr>
              <w:autoSpaceDE w:val="0"/>
              <w:autoSpaceDN w:val="0"/>
              <w:adjustRightInd w:val="0"/>
              <w:jc w:val="center"/>
              <w:rPr>
                <w:rFonts w:cs="Times New Roman"/>
                <w:b/>
                <w:color w:val="000000"/>
              </w:rPr>
            </w:pPr>
            <w:r w:rsidRPr="00E6499D">
              <w:rPr>
                <w:rFonts w:cs="Times New Roman"/>
                <w:b/>
                <w:color w:val="000000"/>
              </w:rPr>
              <w:t>Flow &lt; (cfs)</w:t>
            </w:r>
          </w:p>
        </w:tc>
        <w:tc>
          <w:tcPr>
            <w:tcW w:w="1032" w:type="dxa"/>
            <w:tcBorders>
              <w:top w:val="single" w:sz="2" w:space="0" w:color="000000"/>
              <w:left w:val="single" w:sz="2" w:space="0" w:color="000000"/>
              <w:bottom w:val="single" w:sz="2" w:space="0" w:color="000000"/>
              <w:right w:val="single" w:sz="2" w:space="0" w:color="000000"/>
            </w:tcBorders>
            <w:vAlign w:val="center"/>
          </w:tcPr>
          <w:p w:rsidR="0087219B" w:rsidRPr="00E6499D" w:rsidRDefault="0087219B" w:rsidP="00797DFA">
            <w:pPr>
              <w:autoSpaceDE w:val="0"/>
              <w:autoSpaceDN w:val="0"/>
              <w:adjustRightInd w:val="0"/>
              <w:jc w:val="center"/>
              <w:rPr>
                <w:rFonts w:cs="Times New Roman"/>
                <w:b/>
                <w:bCs/>
                <w:color w:val="000000"/>
              </w:rPr>
            </w:pPr>
            <w:r w:rsidRPr="00E6499D">
              <w:rPr>
                <w:rFonts w:cs="Times New Roman"/>
                <w:b/>
                <w:bCs/>
                <w:color w:val="000000"/>
              </w:rPr>
              <w:t>N</w:t>
            </w:r>
          </w:p>
        </w:tc>
        <w:tc>
          <w:tcPr>
            <w:tcW w:w="1296" w:type="dxa"/>
            <w:tcBorders>
              <w:top w:val="single" w:sz="2" w:space="0" w:color="000000"/>
              <w:left w:val="single" w:sz="2" w:space="0" w:color="000000"/>
              <w:bottom w:val="single" w:sz="2" w:space="0" w:color="000000"/>
              <w:right w:val="single" w:sz="2" w:space="0" w:color="000000"/>
            </w:tcBorders>
            <w:vAlign w:val="center"/>
          </w:tcPr>
          <w:p w:rsidR="0087219B" w:rsidRPr="00E6499D" w:rsidRDefault="0087219B" w:rsidP="00797DFA">
            <w:pPr>
              <w:autoSpaceDE w:val="0"/>
              <w:autoSpaceDN w:val="0"/>
              <w:adjustRightInd w:val="0"/>
              <w:jc w:val="center"/>
              <w:rPr>
                <w:rFonts w:cs="Times New Roman"/>
                <w:b/>
                <w:color w:val="000000"/>
              </w:rPr>
            </w:pPr>
            <w:r w:rsidRPr="00E6499D">
              <w:rPr>
                <w:rFonts w:cs="Times New Roman"/>
                <w:b/>
                <w:color w:val="000000"/>
              </w:rPr>
              <w:t>Decimal time coef.</w:t>
            </w:r>
          </w:p>
        </w:tc>
        <w:tc>
          <w:tcPr>
            <w:tcW w:w="1272" w:type="dxa"/>
            <w:tcBorders>
              <w:top w:val="single" w:sz="2" w:space="0" w:color="000000"/>
              <w:left w:val="single" w:sz="2" w:space="0" w:color="000000"/>
              <w:bottom w:val="single" w:sz="2" w:space="0" w:color="000000"/>
              <w:right w:val="single" w:sz="2" w:space="0" w:color="000000"/>
            </w:tcBorders>
            <w:vAlign w:val="center"/>
          </w:tcPr>
          <w:p w:rsidR="0087219B" w:rsidRPr="00E6499D" w:rsidRDefault="0087219B" w:rsidP="00797DFA">
            <w:pPr>
              <w:autoSpaceDE w:val="0"/>
              <w:autoSpaceDN w:val="0"/>
              <w:adjustRightInd w:val="0"/>
              <w:jc w:val="center"/>
              <w:rPr>
                <w:rFonts w:cs="Times New Roman"/>
                <w:b/>
                <w:bCs/>
                <w:color w:val="000000"/>
                <w:sz w:val="20"/>
                <w:szCs w:val="20"/>
              </w:rPr>
            </w:pPr>
            <w:r w:rsidRPr="00E6499D">
              <w:rPr>
                <w:rFonts w:cs="Times New Roman"/>
                <w:b/>
                <w:bCs/>
                <w:color w:val="000000"/>
                <w:sz w:val="20"/>
                <w:szCs w:val="20"/>
              </w:rPr>
              <w:t>t Value</w:t>
            </w:r>
          </w:p>
        </w:tc>
        <w:tc>
          <w:tcPr>
            <w:tcW w:w="1267" w:type="dxa"/>
            <w:tcBorders>
              <w:top w:val="single" w:sz="2" w:space="0" w:color="000000"/>
              <w:left w:val="single" w:sz="2" w:space="0" w:color="000000"/>
              <w:bottom w:val="single" w:sz="2" w:space="0" w:color="000000"/>
              <w:right w:val="single" w:sz="2" w:space="0" w:color="000000"/>
            </w:tcBorders>
            <w:vAlign w:val="center"/>
          </w:tcPr>
          <w:p w:rsidR="0087219B" w:rsidRPr="00E6499D" w:rsidRDefault="0087219B" w:rsidP="00797DFA">
            <w:pPr>
              <w:autoSpaceDE w:val="0"/>
              <w:autoSpaceDN w:val="0"/>
              <w:adjustRightInd w:val="0"/>
              <w:jc w:val="center"/>
              <w:rPr>
                <w:rFonts w:cs="Times New Roman"/>
                <w:b/>
                <w:bCs/>
                <w:color w:val="000000"/>
                <w:sz w:val="20"/>
                <w:szCs w:val="20"/>
              </w:rPr>
            </w:pPr>
            <w:r w:rsidRPr="00E6499D">
              <w:rPr>
                <w:rFonts w:cs="Times New Roman"/>
                <w:b/>
                <w:bCs/>
                <w:color w:val="000000"/>
                <w:sz w:val="20"/>
                <w:szCs w:val="20"/>
              </w:rPr>
              <w:t>Pr &gt; |t|</w:t>
            </w:r>
          </w:p>
        </w:tc>
      </w:tr>
      <w:tr w:rsidR="0087219B" w:rsidRPr="00534A10" w:rsidTr="00E6499D">
        <w:trPr>
          <w:trHeight w:val="305"/>
          <w:jc w:val="center"/>
        </w:trPr>
        <w:tc>
          <w:tcPr>
            <w:tcW w:w="6060" w:type="dxa"/>
            <w:gridSpan w:val="5"/>
            <w:tcBorders>
              <w:top w:val="single" w:sz="2" w:space="0" w:color="000000"/>
              <w:left w:val="single" w:sz="2" w:space="0" w:color="000000"/>
              <w:bottom w:val="single" w:sz="2" w:space="0" w:color="000000"/>
              <w:right w:val="single" w:sz="2" w:space="0" w:color="000000"/>
            </w:tcBorders>
            <w:shd w:val="solid" w:color="D9D9D9" w:themeColor="background1" w:themeShade="D9" w:fill="auto"/>
          </w:tcPr>
          <w:p w:rsidR="0087219B" w:rsidRPr="00E6499D" w:rsidRDefault="0087219B" w:rsidP="00797DFA">
            <w:pPr>
              <w:autoSpaceDE w:val="0"/>
              <w:autoSpaceDN w:val="0"/>
              <w:adjustRightInd w:val="0"/>
              <w:jc w:val="center"/>
              <w:rPr>
                <w:rFonts w:ascii="Calibri" w:hAnsi="Calibri" w:cs="Calibri"/>
                <w:b/>
                <w:color w:val="000000"/>
              </w:rPr>
            </w:pPr>
            <w:r w:rsidRPr="00E6499D">
              <w:rPr>
                <w:rFonts w:ascii="Calibri" w:hAnsi="Calibri" w:cs="Calibri"/>
                <w:b/>
                <w:color w:val="000000"/>
                <w:sz w:val="22"/>
                <w:szCs w:val="22"/>
              </w:rPr>
              <w:t xml:space="preserve">-------------------------- </w:t>
            </w:r>
            <w:r w:rsidR="002F14A0">
              <w:rPr>
                <w:rFonts w:ascii="Calibri" w:hAnsi="Calibri" w:cs="Calibri"/>
                <w:b/>
                <w:color w:val="000000"/>
                <w:sz w:val="22"/>
                <w:szCs w:val="22"/>
              </w:rPr>
              <w:t>LN-</w:t>
            </w:r>
            <w:r w:rsidRPr="00E6499D">
              <w:rPr>
                <w:rFonts w:ascii="Calibri" w:hAnsi="Calibri" w:cs="Calibri"/>
                <w:b/>
                <w:color w:val="000000"/>
                <w:sz w:val="22"/>
                <w:szCs w:val="22"/>
              </w:rPr>
              <w:t>TSS ---------------------------------</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75</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115</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-0.0373</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-1.64</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0.1035</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250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179</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-0.0479</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-2.26</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0.0249</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500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213</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-0.0532</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-2.74</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0.0067</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750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233</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-0.0642</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-3.32</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0.0011</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1000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258</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-0.0665</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-3.56</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0.0004</w:t>
            </w:r>
          </w:p>
        </w:tc>
      </w:tr>
      <w:tr w:rsidR="0087219B" w:rsidRPr="00534A10" w:rsidTr="00E6499D">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All</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269</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-0.0721</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-3.98</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&lt;0.0001</w:t>
            </w:r>
          </w:p>
        </w:tc>
      </w:tr>
      <w:tr w:rsidR="0087219B" w:rsidRPr="00534A10" w:rsidTr="00E6499D">
        <w:trPr>
          <w:trHeight w:val="305"/>
          <w:jc w:val="center"/>
        </w:trPr>
        <w:tc>
          <w:tcPr>
            <w:tcW w:w="6060" w:type="dxa"/>
            <w:gridSpan w:val="5"/>
            <w:tcBorders>
              <w:top w:val="single" w:sz="2" w:space="0" w:color="000000"/>
              <w:left w:val="single" w:sz="2" w:space="0" w:color="000000"/>
              <w:bottom w:val="single" w:sz="2" w:space="0" w:color="000000"/>
              <w:right w:val="single" w:sz="2" w:space="0" w:color="000000"/>
            </w:tcBorders>
            <w:shd w:val="solid" w:color="D9D9D9" w:themeColor="background1" w:themeShade="D9" w:fill="auto"/>
          </w:tcPr>
          <w:p w:rsidR="0087219B" w:rsidRPr="00E6499D" w:rsidRDefault="0087219B" w:rsidP="00B901CF">
            <w:pPr>
              <w:autoSpaceDE w:val="0"/>
              <w:autoSpaceDN w:val="0"/>
              <w:adjustRightInd w:val="0"/>
              <w:jc w:val="center"/>
              <w:rPr>
                <w:rFonts w:ascii="Calibri" w:hAnsi="Calibri" w:cs="Calibri"/>
                <w:b/>
                <w:color w:val="000000"/>
              </w:rPr>
            </w:pPr>
            <w:r w:rsidRPr="00E6499D">
              <w:rPr>
                <w:rFonts w:ascii="Calibri" w:hAnsi="Calibri" w:cs="Calibri"/>
                <w:b/>
                <w:color w:val="000000"/>
                <w:sz w:val="22"/>
                <w:szCs w:val="22"/>
              </w:rPr>
              <w:t xml:space="preserve">-------------------------- </w:t>
            </w:r>
            <w:r w:rsidR="002F14A0">
              <w:rPr>
                <w:rFonts w:ascii="Calibri" w:hAnsi="Calibri" w:cs="Calibri"/>
                <w:b/>
                <w:color w:val="000000"/>
                <w:sz w:val="22"/>
                <w:szCs w:val="22"/>
              </w:rPr>
              <w:t>LN-</w:t>
            </w:r>
            <w:r w:rsidRPr="00E6499D">
              <w:rPr>
                <w:rFonts w:ascii="Calibri" w:hAnsi="Calibri" w:cs="Calibri"/>
                <w:b/>
                <w:color w:val="000000"/>
                <w:sz w:val="22"/>
                <w:szCs w:val="22"/>
              </w:rPr>
              <w:t>TP -----------------------------------</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75</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115</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-0.0414</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-2.17</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0.0323</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250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179</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-0.0614</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-3.87</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0.0002</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500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213</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-0.0387</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-2.64</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0.0090</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750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233</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-0.0419</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-2.95</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0.0036</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1000</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258</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-0.0421</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-2.99</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0.0030</w:t>
            </w:r>
          </w:p>
        </w:tc>
      </w:tr>
      <w:tr w:rsidR="0087219B" w:rsidRPr="00534A10" w:rsidTr="0087219B">
        <w:trPr>
          <w:trHeight w:val="305"/>
          <w:jc w:val="center"/>
        </w:trPr>
        <w:tc>
          <w:tcPr>
            <w:tcW w:w="1193"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All</w:t>
            </w:r>
          </w:p>
        </w:tc>
        <w:tc>
          <w:tcPr>
            <w:tcW w:w="103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269</w:t>
            </w:r>
          </w:p>
        </w:tc>
        <w:tc>
          <w:tcPr>
            <w:tcW w:w="1296"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-0.0430</w:t>
            </w:r>
          </w:p>
        </w:tc>
        <w:tc>
          <w:tcPr>
            <w:tcW w:w="1272"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color w:val="000000"/>
              </w:rPr>
            </w:pPr>
            <w:r>
              <w:rPr>
                <w:color w:val="000000"/>
              </w:rPr>
              <w:t>-3.14</w:t>
            </w:r>
          </w:p>
        </w:tc>
        <w:tc>
          <w:tcPr>
            <w:tcW w:w="1267" w:type="dxa"/>
            <w:tcBorders>
              <w:top w:val="single" w:sz="2" w:space="0" w:color="000000"/>
              <w:left w:val="single" w:sz="2" w:space="0" w:color="000000"/>
              <w:bottom w:val="single" w:sz="2" w:space="0" w:color="000000"/>
              <w:right w:val="single" w:sz="2" w:space="0" w:color="000000"/>
            </w:tcBorders>
          </w:tcPr>
          <w:p w:rsidR="0087219B" w:rsidRDefault="0087219B" w:rsidP="00B901CF">
            <w:pPr>
              <w:jc w:val="center"/>
              <w:rPr>
                <w:i/>
                <w:iCs/>
                <w:color w:val="000000"/>
              </w:rPr>
            </w:pPr>
            <w:r>
              <w:rPr>
                <w:i/>
                <w:iCs/>
                <w:color w:val="000000"/>
              </w:rPr>
              <w:t>0.0019</w:t>
            </w:r>
          </w:p>
        </w:tc>
      </w:tr>
    </w:tbl>
    <w:p w:rsidR="00CE568B" w:rsidRDefault="00CE568B" w:rsidP="00CE568B">
      <w:pPr>
        <w:spacing w:after="120"/>
        <w:rPr>
          <w:i/>
          <w:u w:val="single"/>
        </w:rPr>
      </w:pPr>
    </w:p>
    <w:p w:rsidR="00083EC0" w:rsidRDefault="00CE568B" w:rsidP="00083EC0">
      <w:pPr>
        <w:spacing w:after="120"/>
        <w:rPr>
          <w:rFonts w:cs="Times New Roman"/>
        </w:rPr>
      </w:pPr>
      <w:r w:rsidRPr="008B1D41">
        <w:rPr>
          <w:i/>
          <w:u w:val="single"/>
        </w:rPr>
        <w:lastRenderedPageBreak/>
        <w:t>Regression</w:t>
      </w:r>
      <w:r>
        <w:rPr>
          <w:i/>
          <w:u w:val="single"/>
        </w:rPr>
        <w:t xml:space="preserve"> models without flow or seasonal independent variables</w:t>
      </w:r>
      <w:r>
        <w:t xml:space="preserve">: </w:t>
      </w:r>
      <w:r w:rsidR="00C93617">
        <w:t xml:space="preserve"> Statistical r</w:t>
      </w:r>
      <w:r w:rsidRPr="00C93617">
        <w:rPr>
          <w:rFonts w:cs="Times New Roman"/>
        </w:rPr>
        <w:t>esults from</w:t>
      </w:r>
      <w:r w:rsidR="00C93617">
        <w:rPr>
          <w:rFonts w:cs="Times New Roman"/>
        </w:rPr>
        <w:t xml:space="preserve"> </w:t>
      </w:r>
      <w:r w:rsidR="001B3D7F" w:rsidRPr="00C93617">
        <w:rPr>
          <w:rFonts w:cs="Times New Roman"/>
        </w:rPr>
        <w:t xml:space="preserve">LN_TSS and LN_TP </w:t>
      </w:r>
      <w:r w:rsidR="00EE50EE" w:rsidRPr="00C93617">
        <w:rPr>
          <w:rFonts w:cs="Times New Roman"/>
        </w:rPr>
        <w:t xml:space="preserve">regression models </w:t>
      </w:r>
      <w:r w:rsidR="00C93617">
        <w:rPr>
          <w:rFonts w:cs="Times New Roman"/>
        </w:rPr>
        <w:t xml:space="preserve">which </w:t>
      </w:r>
      <w:r w:rsidR="00EE50EE" w:rsidRPr="00C93617">
        <w:rPr>
          <w:rFonts w:cs="Times New Roman"/>
        </w:rPr>
        <w:t xml:space="preserve">did not include </w:t>
      </w:r>
      <w:r w:rsidR="002F3C0C">
        <w:rPr>
          <w:rFonts w:cs="Times New Roman"/>
        </w:rPr>
        <w:t xml:space="preserve">different combinations of </w:t>
      </w:r>
      <w:r w:rsidR="00EE50EE" w:rsidRPr="00C93617">
        <w:rPr>
          <w:rFonts w:cs="Times New Roman"/>
        </w:rPr>
        <w:t xml:space="preserve">flow, flow-squared or seasonal </w:t>
      </w:r>
      <w:r w:rsidR="004C4F04">
        <w:rPr>
          <w:rFonts w:cs="Times New Roman"/>
        </w:rPr>
        <w:t>variables</w:t>
      </w:r>
      <w:r w:rsidR="00EE50EE" w:rsidRPr="00C93617">
        <w:rPr>
          <w:rFonts w:cs="Times New Roman"/>
        </w:rPr>
        <w:t xml:space="preserve"> are summarized in Table 3</w:t>
      </w:r>
      <w:r w:rsidRPr="00C93617">
        <w:rPr>
          <w:rFonts w:cs="Times New Roman"/>
        </w:rPr>
        <w:t xml:space="preserve">.  </w:t>
      </w:r>
      <w:r w:rsidR="004C4F04">
        <w:rPr>
          <w:rFonts w:cs="Times New Roman"/>
        </w:rPr>
        <w:t xml:space="preserve">For the purposes of this study, these variables are exogenous and </w:t>
      </w:r>
      <w:r w:rsidR="002F3C0C">
        <w:rPr>
          <w:rFonts w:cs="Times New Roman"/>
        </w:rPr>
        <w:t xml:space="preserve">were used </w:t>
      </w:r>
      <w:r w:rsidR="004C4F04">
        <w:rPr>
          <w:rFonts w:cs="Times New Roman"/>
        </w:rPr>
        <w:t xml:space="preserve">to improve the </w:t>
      </w:r>
      <w:r w:rsidR="004A7C6D">
        <w:rPr>
          <w:rFonts w:cs="Times New Roman"/>
        </w:rPr>
        <w:t xml:space="preserve">explanatory </w:t>
      </w:r>
      <w:r w:rsidR="002800F2">
        <w:rPr>
          <w:rFonts w:cs="Times New Roman"/>
        </w:rPr>
        <w:t xml:space="preserve">power of the regression </w:t>
      </w:r>
      <w:r w:rsidR="004C4F04">
        <w:rPr>
          <w:rFonts w:cs="Times New Roman"/>
        </w:rPr>
        <w:t>model</w:t>
      </w:r>
      <w:r w:rsidR="002800F2">
        <w:rPr>
          <w:rFonts w:cs="Times New Roman"/>
        </w:rPr>
        <w:t>s</w:t>
      </w:r>
      <w:r w:rsidR="004C4F04">
        <w:rPr>
          <w:rFonts w:cs="Times New Roman"/>
        </w:rPr>
        <w:t xml:space="preserve">, unlike the date variable which is </w:t>
      </w:r>
      <w:r w:rsidR="009D6420">
        <w:rPr>
          <w:rFonts w:cs="Times New Roman"/>
        </w:rPr>
        <w:t xml:space="preserve">of primary interest as </w:t>
      </w:r>
      <w:r w:rsidR="002F3C0C">
        <w:rPr>
          <w:rFonts w:cs="Times New Roman"/>
        </w:rPr>
        <w:t xml:space="preserve">it </w:t>
      </w:r>
      <w:r w:rsidR="009D6420">
        <w:rPr>
          <w:rFonts w:cs="Times New Roman"/>
        </w:rPr>
        <w:t xml:space="preserve">was </w:t>
      </w:r>
      <w:r w:rsidR="004C4F04">
        <w:rPr>
          <w:rFonts w:cs="Times New Roman"/>
        </w:rPr>
        <w:t>u</w:t>
      </w:r>
      <w:r w:rsidR="002F3C0C">
        <w:rPr>
          <w:rFonts w:cs="Times New Roman"/>
        </w:rPr>
        <w:t>tilized t</w:t>
      </w:r>
      <w:r w:rsidR="004C4F04">
        <w:rPr>
          <w:rFonts w:cs="Times New Roman"/>
        </w:rPr>
        <w:t xml:space="preserve">o test for trend, or temporal changes.  </w:t>
      </w:r>
      <w:r w:rsidR="004A7C6D">
        <w:rPr>
          <w:rFonts w:cs="Times New Roman"/>
        </w:rPr>
        <w:t>As summarized in Table 3, t</w:t>
      </w:r>
      <w:r w:rsidR="001B3D7F" w:rsidRPr="00C93617">
        <w:rPr>
          <w:rFonts w:cs="Times New Roman"/>
        </w:rPr>
        <w:t>he slope of decimal time (date) was significantly different than zero for all combinations of these two model</w:t>
      </w:r>
      <w:r w:rsidR="004C4F04">
        <w:rPr>
          <w:rFonts w:cs="Times New Roman"/>
        </w:rPr>
        <w:t>s</w:t>
      </w:r>
      <w:r w:rsidR="00B078EA" w:rsidRPr="00C93617">
        <w:rPr>
          <w:rFonts w:cs="Times New Roman"/>
        </w:rPr>
        <w:t xml:space="preserve"> (p &lt; 0.05)</w:t>
      </w:r>
      <w:r w:rsidR="00C93781" w:rsidRPr="00C93617">
        <w:rPr>
          <w:rFonts w:cs="Times New Roman"/>
        </w:rPr>
        <w:t xml:space="preserve">, indicating </w:t>
      </w:r>
      <w:r w:rsidR="009D6420">
        <w:rPr>
          <w:rFonts w:cs="Times New Roman"/>
        </w:rPr>
        <w:t xml:space="preserve">that date was still a </w:t>
      </w:r>
      <w:r w:rsidR="001B3D7F" w:rsidRPr="00C93617">
        <w:rPr>
          <w:rFonts w:cs="Times New Roman"/>
        </w:rPr>
        <w:t xml:space="preserve">significant explanatory variable regardless of whether flow or seasonality were factored into the models. </w:t>
      </w:r>
    </w:p>
    <w:p w:rsidR="002F3C0C" w:rsidRDefault="00DD644D" w:rsidP="00083EC0">
      <w:pPr>
        <w:spacing w:after="120"/>
        <w:ind w:firstLine="720"/>
        <w:rPr>
          <w:rFonts w:cs="Times New Roman"/>
        </w:rPr>
      </w:pPr>
      <w:r>
        <w:rPr>
          <w:rFonts w:cs="Times New Roman"/>
        </w:rPr>
        <w:t xml:space="preserve">Although </w:t>
      </w:r>
      <w:r w:rsidR="00C93781" w:rsidRPr="00C93617">
        <w:rPr>
          <w:rFonts w:cs="Times New Roman"/>
        </w:rPr>
        <w:t xml:space="preserve">the </w:t>
      </w:r>
      <w:r w:rsidR="001B3D7F" w:rsidRPr="00C93617">
        <w:rPr>
          <w:rFonts w:cs="Times New Roman"/>
        </w:rPr>
        <w:t xml:space="preserve">explanatory power </w:t>
      </w:r>
      <w:r w:rsidR="00B078EA" w:rsidRPr="00C93617">
        <w:rPr>
          <w:rFonts w:cs="Times New Roman"/>
        </w:rPr>
        <w:t xml:space="preserve">associated with </w:t>
      </w:r>
      <w:r w:rsidR="00C93617" w:rsidRPr="00C93617">
        <w:rPr>
          <w:rFonts w:cs="Times New Roman"/>
        </w:rPr>
        <w:t xml:space="preserve">date </w:t>
      </w:r>
      <w:r w:rsidR="00FA6AAB">
        <w:rPr>
          <w:rFonts w:cs="Times New Roman"/>
        </w:rPr>
        <w:t xml:space="preserve">generally decreased </w:t>
      </w:r>
      <w:r w:rsidR="00390919" w:rsidRPr="00B15C02">
        <w:rPr>
          <w:rFonts w:cs="Times New Roman"/>
        </w:rPr>
        <w:t>as the</w:t>
      </w:r>
      <w:r w:rsidR="00C93781" w:rsidRPr="00B15C02">
        <w:rPr>
          <w:rFonts w:cs="Times New Roman"/>
        </w:rPr>
        <w:t xml:space="preserve">se exogenous </w:t>
      </w:r>
      <w:r>
        <w:rPr>
          <w:rFonts w:cs="Times New Roman"/>
        </w:rPr>
        <w:t xml:space="preserve">variables </w:t>
      </w:r>
      <w:r w:rsidR="00390919" w:rsidRPr="00B15C02">
        <w:rPr>
          <w:rFonts w:cs="Times New Roman"/>
        </w:rPr>
        <w:t xml:space="preserve">were added back </w:t>
      </w:r>
      <w:r w:rsidR="004A7C6D">
        <w:rPr>
          <w:rFonts w:cs="Times New Roman"/>
        </w:rPr>
        <w:t>in</w:t>
      </w:r>
      <w:r w:rsidR="00390919" w:rsidRPr="00B15C02">
        <w:rPr>
          <w:rFonts w:cs="Times New Roman"/>
        </w:rPr>
        <w:t>to the model</w:t>
      </w:r>
      <w:r w:rsidR="00380416">
        <w:rPr>
          <w:rFonts w:cs="Times New Roman"/>
        </w:rPr>
        <w:t xml:space="preserve"> </w:t>
      </w:r>
      <w:r w:rsidR="00380416" w:rsidRPr="00C93617">
        <w:rPr>
          <w:rFonts w:cs="Times New Roman"/>
        </w:rPr>
        <w:t>(t-values in Table 3)</w:t>
      </w:r>
      <w:r w:rsidR="002800F2" w:rsidRPr="00B15C02">
        <w:rPr>
          <w:rFonts w:cs="Times New Roman"/>
        </w:rPr>
        <w:t xml:space="preserve">, </w:t>
      </w:r>
      <w:r w:rsidR="00B078EA" w:rsidRPr="00B15C02">
        <w:rPr>
          <w:rFonts w:cs="Times New Roman"/>
        </w:rPr>
        <w:t xml:space="preserve">the </w:t>
      </w:r>
      <w:r w:rsidR="00983DFC" w:rsidRPr="00B15C02">
        <w:rPr>
          <w:rFonts w:cs="Times New Roman"/>
        </w:rPr>
        <w:t xml:space="preserve">overall </w:t>
      </w:r>
      <w:r w:rsidR="00661DC9">
        <w:rPr>
          <w:rFonts w:cs="Times New Roman"/>
        </w:rPr>
        <w:t xml:space="preserve">ability of the models to predict </w:t>
      </w:r>
      <w:r w:rsidR="00983DFC" w:rsidRPr="00B15C02">
        <w:rPr>
          <w:rFonts w:cs="Times New Roman"/>
        </w:rPr>
        <w:t>LN_TSS or LN_TP</w:t>
      </w:r>
      <w:r w:rsidR="00661DC9">
        <w:rPr>
          <w:rFonts w:cs="Times New Roman"/>
        </w:rPr>
        <w:t xml:space="preserve"> increased</w:t>
      </w:r>
      <w:r w:rsidR="001B3D7F" w:rsidRPr="00B15C02">
        <w:rPr>
          <w:rFonts w:cs="Times New Roman"/>
        </w:rPr>
        <w:t>.</w:t>
      </w:r>
      <w:r w:rsidR="00983DFC" w:rsidRPr="00B15C02">
        <w:rPr>
          <w:rFonts w:cs="Times New Roman"/>
        </w:rPr>
        <w:t xml:space="preserve">  </w:t>
      </w:r>
      <w:r w:rsidR="0023689F">
        <w:rPr>
          <w:rFonts w:cs="Times New Roman"/>
        </w:rPr>
        <w:t xml:space="preserve">When date was added to the last regression model listed in Table 3, the adjusted r-squared values improved from 0.706 to 0.722 for the LN_TSS model, and from 0.370 to 0.391 for the LN_TP model.  </w:t>
      </w:r>
      <w:r w:rsidR="00983DFC" w:rsidRPr="00B15C02">
        <w:rPr>
          <w:rFonts w:cs="Times New Roman"/>
        </w:rPr>
        <w:t>Th</w:t>
      </w:r>
      <w:r w:rsidR="0023689F">
        <w:rPr>
          <w:rFonts w:cs="Times New Roman"/>
        </w:rPr>
        <w:t>is</w:t>
      </w:r>
      <w:r w:rsidR="00983DFC" w:rsidRPr="00B15C02">
        <w:rPr>
          <w:rFonts w:cs="Times New Roman"/>
        </w:rPr>
        <w:t xml:space="preserve"> complete equation with all explanatory variables, including date, was </w:t>
      </w:r>
      <w:r w:rsidR="0023689F">
        <w:rPr>
          <w:rFonts w:cs="Times New Roman"/>
        </w:rPr>
        <w:t xml:space="preserve">also </w:t>
      </w:r>
      <w:r w:rsidR="00983DFC" w:rsidRPr="00B15C02">
        <w:rPr>
          <w:rFonts w:cs="Times New Roman"/>
        </w:rPr>
        <w:t>selected as the best equation by the Cp selection method in the SAS</w:t>
      </w:r>
      <w:r w:rsidR="001B3D7F" w:rsidRPr="00B15C02">
        <w:rPr>
          <w:rFonts w:cs="Times New Roman"/>
        </w:rPr>
        <w:t xml:space="preserve"> </w:t>
      </w:r>
      <w:r w:rsidR="00983DFC" w:rsidRPr="00B15C02">
        <w:rPr>
          <w:rFonts w:cs="Times New Roman"/>
        </w:rPr>
        <w:t>program</w:t>
      </w:r>
      <w:r w:rsidR="00A27503">
        <w:rPr>
          <w:rFonts w:cs="Times New Roman"/>
        </w:rPr>
        <w:t xml:space="preserve">.  </w:t>
      </w:r>
      <w:r w:rsidR="00B400A4">
        <w:rPr>
          <w:rFonts w:cs="Times New Roman"/>
        </w:rPr>
        <w:t>Overall, this evidence s</w:t>
      </w:r>
      <w:r w:rsidR="00983DFC" w:rsidRPr="00B15C02">
        <w:rPr>
          <w:rFonts w:cs="Times New Roman"/>
        </w:rPr>
        <w:t>upport</w:t>
      </w:r>
      <w:r w:rsidR="00B400A4">
        <w:rPr>
          <w:rFonts w:cs="Times New Roman"/>
        </w:rPr>
        <w:t xml:space="preserve">s the initial finding which was that </w:t>
      </w:r>
      <w:r w:rsidR="00983DFC" w:rsidRPr="00B15C02">
        <w:rPr>
          <w:rFonts w:cs="Times New Roman"/>
        </w:rPr>
        <w:t>date was an important factor</w:t>
      </w:r>
      <w:r w:rsidR="00E679D8">
        <w:rPr>
          <w:rFonts w:cs="Times New Roman"/>
        </w:rPr>
        <w:t xml:space="preserve"> to be included in the regression models</w:t>
      </w:r>
      <w:r w:rsidR="003D4BC5">
        <w:rPr>
          <w:rFonts w:cs="Times New Roman"/>
        </w:rPr>
        <w:t xml:space="preserve">.  </w:t>
      </w:r>
      <w:r w:rsidR="00B60A9C">
        <w:rPr>
          <w:rFonts w:cs="Times New Roman"/>
        </w:rPr>
        <w:t>In addition</w:t>
      </w:r>
      <w:r w:rsidR="002F3C0C">
        <w:rPr>
          <w:rFonts w:cs="Times New Roman"/>
        </w:rPr>
        <w:t xml:space="preserve">, </w:t>
      </w:r>
      <w:r w:rsidR="00F15EC5">
        <w:rPr>
          <w:rFonts w:cs="Times New Roman"/>
        </w:rPr>
        <w:t xml:space="preserve">all of the date </w:t>
      </w:r>
      <w:r w:rsidR="003D4BC5">
        <w:rPr>
          <w:rFonts w:cs="Times New Roman"/>
        </w:rPr>
        <w:t xml:space="preserve">coefficient estimates </w:t>
      </w:r>
      <w:r w:rsidR="00083EC0">
        <w:rPr>
          <w:rFonts w:cs="Times New Roman"/>
        </w:rPr>
        <w:t xml:space="preserve">listed in Table 3 </w:t>
      </w:r>
      <w:r w:rsidR="00F15EC5">
        <w:rPr>
          <w:rFonts w:cs="Times New Roman"/>
        </w:rPr>
        <w:t xml:space="preserve">were negative and statistically significant, </w:t>
      </w:r>
      <w:r w:rsidR="00083EC0">
        <w:rPr>
          <w:rFonts w:cs="Times New Roman"/>
        </w:rPr>
        <w:t xml:space="preserve">which supports the initial finding that </w:t>
      </w:r>
      <w:r w:rsidR="002F3C0C">
        <w:rPr>
          <w:rFonts w:cs="Times New Roman"/>
        </w:rPr>
        <w:t xml:space="preserve">TSS and TP </w:t>
      </w:r>
      <w:r w:rsidR="00B27C8D">
        <w:rPr>
          <w:rFonts w:cs="Times New Roman"/>
        </w:rPr>
        <w:t xml:space="preserve">concentrations have likely decreased </w:t>
      </w:r>
      <w:r w:rsidR="002F3C0C">
        <w:rPr>
          <w:rFonts w:cs="Times New Roman"/>
        </w:rPr>
        <w:t>over the 2004 to 2013 record</w:t>
      </w:r>
    </w:p>
    <w:p w:rsidR="003E5E17" w:rsidRDefault="003E5E17">
      <w:pPr>
        <w:spacing w:after="200" w:line="276" w:lineRule="auto"/>
        <w:rPr>
          <w:rFonts w:cs="Times New Roman"/>
          <w:highlight w:val="yellow"/>
        </w:rPr>
      </w:pPr>
      <w:r>
        <w:rPr>
          <w:rFonts w:cs="Times New Roman"/>
          <w:highlight w:val="yellow"/>
        </w:rPr>
        <w:br w:type="page"/>
      </w:r>
    </w:p>
    <w:p w:rsidR="00BB4E9D" w:rsidRDefault="00BB4E9D" w:rsidP="00ED7427">
      <w:pPr>
        <w:pStyle w:val="Caption"/>
        <w:keepNext/>
      </w:pPr>
      <w:r>
        <w:lastRenderedPageBreak/>
        <w:t xml:space="preserve">Table </w:t>
      </w:r>
      <w:r w:rsidR="00ED7427">
        <w:t>3</w:t>
      </w:r>
      <w:r>
        <w:t xml:space="preserve">. </w:t>
      </w:r>
      <w:r w:rsidR="00ED7427">
        <w:t xml:space="preserve"> L</w:t>
      </w:r>
      <w:r w:rsidR="00ED7427" w:rsidRPr="00ED7427">
        <w:t>og-transformed total suspended solids and total phosphorus regression model</w:t>
      </w:r>
      <w:r w:rsidR="00ED7427">
        <w:t xml:space="preserve"> </w:t>
      </w:r>
      <w:r w:rsidR="00ED7427" w:rsidRPr="00ED7427">
        <w:t>estimates</w:t>
      </w:r>
      <w:r w:rsidR="00ED7427">
        <w:t xml:space="preserve"> (coef</w:t>
      </w:r>
      <w:r w:rsidR="0039264A">
        <w:t>ficient estimate</w:t>
      </w:r>
      <w:r w:rsidR="00ED7427">
        <w:t xml:space="preserve">, </w:t>
      </w:r>
      <w:r w:rsidR="00ED7427" w:rsidRPr="00ED7427">
        <w:t>t-values, P-values</w:t>
      </w:r>
      <w:r w:rsidR="00ED7427">
        <w:t>; overall model adjusted R</w:t>
      </w:r>
      <w:r w:rsidR="00ED7427" w:rsidRPr="0039264A">
        <w:rPr>
          <w:vertAlign w:val="superscript"/>
        </w:rPr>
        <w:t>2</w:t>
      </w:r>
      <w:r w:rsidR="00ED7427">
        <w:t xml:space="preserve">, F-value, P-value) for Duck Creek models with different combinations of </w:t>
      </w:r>
      <w:r w:rsidR="00FD42DC">
        <w:t xml:space="preserve">independent </w:t>
      </w:r>
      <w:r w:rsidR="00ED7427">
        <w:t xml:space="preserve">explanatory variables.  Data for these models were from </w:t>
      </w:r>
      <w:r w:rsidR="00ED7427" w:rsidRPr="00ED7427">
        <w:t>the 2004 to 2013</w:t>
      </w:r>
      <w:r w:rsidR="00ED7427">
        <w:t xml:space="preserve"> record</w:t>
      </w:r>
      <w:r w:rsidR="00ED7427" w:rsidRPr="00ED7427">
        <w:t xml:space="preserve"> (USGS water years</w:t>
      </w:r>
      <w:r w:rsidR="00ED7427">
        <w:t>, n=269</w:t>
      </w:r>
      <w:r w:rsidR="00ED7427" w:rsidRPr="00ED7427">
        <w:t>).</w:t>
      </w:r>
      <w:r>
        <w:t xml:space="preserve"> </w:t>
      </w:r>
    </w:p>
    <w:tbl>
      <w:tblPr>
        <w:tblW w:w="5000" w:type="pct"/>
        <w:tblLook w:val="04A0" w:firstRow="1" w:lastRow="0" w:firstColumn="1" w:lastColumn="0" w:noHBand="0" w:noVBand="1"/>
      </w:tblPr>
      <w:tblGrid>
        <w:gridCol w:w="1738"/>
        <w:gridCol w:w="1269"/>
        <w:gridCol w:w="1079"/>
        <w:gridCol w:w="962"/>
        <w:gridCol w:w="861"/>
        <w:gridCol w:w="820"/>
        <w:gridCol w:w="997"/>
        <w:gridCol w:w="925"/>
        <w:gridCol w:w="925"/>
      </w:tblGrid>
      <w:tr w:rsidR="00ED7427" w:rsidRPr="00BB4E9D" w:rsidTr="00BB4E9D">
        <w:trPr>
          <w:trHeight w:val="216"/>
        </w:trPr>
        <w:tc>
          <w:tcPr>
            <w:tcW w:w="911"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666" w:type="pct"/>
            <w:vMerge w:val="restart"/>
            <w:tcBorders>
              <w:top w:val="nil"/>
              <w:left w:val="nil"/>
              <w:bottom w:val="single" w:sz="12" w:space="0" w:color="000000"/>
              <w:right w:val="nil"/>
            </w:tcBorders>
            <w:shd w:val="clear" w:color="auto" w:fill="auto"/>
            <w:vAlign w:val="bottom"/>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Variable</w:t>
            </w:r>
          </w:p>
        </w:tc>
        <w:tc>
          <w:tcPr>
            <w:tcW w:w="567"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50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53" w:type="pct"/>
            <w:vMerge w:val="restart"/>
            <w:tcBorders>
              <w:top w:val="nil"/>
              <w:left w:val="nil"/>
              <w:bottom w:val="nil"/>
              <w:right w:val="nil"/>
            </w:tcBorders>
            <w:shd w:val="clear" w:color="auto" w:fill="auto"/>
            <w:vAlign w:val="bottom"/>
            <w:hideMark/>
          </w:tcPr>
          <w:p w:rsidR="00BB4E9D" w:rsidRPr="00BB4E9D" w:rsidRDefault="00BB4E9D" w:rsidP="00BB4E9D">
            <w:pPr>
              <w:jc w:val="right"/>
              <w:rPr>
                <w:rFonts w:eastAsia="Times New Roman" w:cs="Times New Roman"/>
                <w:b/>
                <w:bCs/>
                <w:color w:val="000000"/>
                <w:sz w:val="18"/>
              </w:rPr>
            </w:pPr>
            <w:r w:rsidRPr="00BB4E9D">
              <w:rPr>
                <w:rFonts w:eastAsia="Times New Roman" w:cs="Times New Roman"/>
                <w:b/>
                <w:bCs/>
                <w:color w:val="000000"/>
                <w:sz w:val="18"/>
              </w:rPr>
              <w:t>t Value</w:t>
            </w:r>
          </w:p>
        </w:tc>
        <w:tc>
          <w:tcPr>
            <w:tcW w:w="432" w:type="pct"/>
            <w:vMerge w:val="restart"/>
            <w:tcBorders>
              <w:top w:val="nil"/>
              <w:left w:val="nil"/>
              <w:bottom w:val="nil"/>
              <w:right w:val="nil"/>
            </w:tcBorders>
            <w:shd w:val="clear" w:color="auto" w:fill="auto"/>
            <w:vAlign w:val="bottom"/>
            <w:hideMark/>
          </w:tcPr>
          <w:p w:rsidR="00BB4E9D" w:rsidRPr="00BB4E9D" w:rsidRDefault="00BB4E9D" w:rsidP="00BB4E9D">
            <w:pPr>
              <w:jc w:val="right"/>
              <w:rPr>
                <w:rFonts w:eastAsia="Times New Roman" w:cs="Times New Roman"/>
                <w:b/>
                <w:bCs/>
                <w:color w:val="000000"/>
                <w:sz w:val="18"/>
              </w:rPr>
            </w:pPr>
            <w:r w:rsidRPr="00BB4E9D">
              <w:rPr>
                <w:rFonts w:eastAsia="Times New Roman" w:cs="Times New Roman"/>
                <w:b/>
                <w:bCs/>
                <w:color w:val="000000"/>
                <w:sz w:val="18"/>
              </w:rPr>
              <w:t>Pr &gt; |t|</w:t>
            </w:r>
          </w:p>
        </w:tc>
        <w:tc>
          <w:tcPr>
            <w:tcW w:w="1465" w:type="pct"/>
            <w:gridSpan w:val="3"/>
            <w:tcBorders>
              <w:top w:val="nil"/>
              <w:left w:val="nil"/>
              <w:bottom w:val="nil"/>
              <w:right w:val="nil"/>
            </w:tcBorders>
            <w:shd w:val="clear" w:color="auto" w:fill="auto"/>
            <w:hideMark/>
          </w:tcPr>
          <w:p w:rsidR="00BB4E9D" w:rsidRPr="00BB4E9D" w:rsidRDefault="001B3D7F" w:rsidP="001B3D7F">
            <w:pPr>
              <w:jc w:val="center"/>
              <w:rPr>
                <w:rFonts w:eastAsia="Times New Roman" w:cs="Times New Roman"/>
                <w:b/>
                <w:bCs/>
                <w:color w:val="000000"/>
                <w:sz w:val="18"/>
              </w:rPr>
            </w:pPr>
            <w:r>
              <w:rPr>
                <w:rFonts w:eastAsia="Times New Roman" w:cs="Times New Roman"/>
                <w:b/>
                <w:bCs/>
                <w:color w:val="000000"/>
                <w:sz w:val="18"/>
              </w:rPr>
              <w:t>O</w:t>
            </w:r>
            <w:r w:rsidR="00BB4E9D" w:rsidRPr="00BB4E9D">
              <w:rPr>
                <w:rFonts w:eastAsia="Times New Roman" w:cs="Times New Roman"/>
                <w:b/>
                <w:bCs/>
                <w:color w:val="000000"/>
                <w:sz w:val="18"/>
              </w:rPr>
              <w:t>verall model stats</w:t>
            </w:r>
          </w:p>
        </w:tc>
      </w:tr>
      <w:tr w:rsidR="00ED7427" w:rsidRPr="00BB4E9D" w:rsidTr="00E6499D">
        <w:trPr>
          <w:trHeight w:val="216"/>
        </w:trPr>
        <w:tc>
          <w:tcPr>
            <w:tcW w:w="911" w:type="pct"/>
            <w:tcBorders>
              <w:top w:val="nil"/>
              <w:left w:val="nil"/>
              <w:right w:val="nil"/>
            </w:tcBorders>
            <w:shd w:val="clear" w:color="auto" w:fill="auto"/>
            <w:noWrap/>
            <w:vAlign w:val="bottom"/>
            <w:hideMark/>
          </w:tcPr>
          <w:p w:rsidR="00BB4E9D" w:rsidRPr="001B3D7F" w:rsidRDefault="001B3D7F" w:rsidP="001B3D7F">
            <w:pPr>
              <w:rPr>
                <w:rFonts w:ascii="Calibri" w:eastAsia="Times New Roman" w:hAnsi="Calibri" w:cs="Times New Roman"/>
                <w:b/>
                <w:color w:val="000000"/>
                <w:sz w:val="18"/>
              </w:rPr>
            </w:pPr>
            <w:r>
              <w:rPr>
                <w:rFonts w:ascii="Calibri" w:eastAsia="Times New Roman" w:hAnsi="Calibri" w:cs="Times New Roman"/>
                <w:b/>
                <w:color w:val="000000"/>
                <w:sz w:val="18"/>
                <w:szCs w:val="22"/>
              </w:rPr>
              <w:t>M</w:t>
            </w:r>
            <w:r w:rsidR="00BB4E9D" w:rsidRPr="001B3D7F">
              <w:rPr>
                <w:rFonts w:ascii="Calibri" w:eastAsia="Times New Roman" w:hAnsi="Calibri" w:cs="Times New Roman"/>
                <w:b/>
                <w:color w:val="000000"/>
                <w:sz w:val="18"/>
                <w:szCs w:val="22"/>
              </w:rPr>
              <w:t>odel description</w:t>
            </w:r>
          </w:p>
        </w:tc>
        <w:tc>
          <w:tcPr>
            <w:tcW w:w="666" w:type="pct"/>
            <w:vMerge/>
            <w:tcBorders>
              <w:top w:val="nil"/>
              <w:left w:val="nil"/>
              <w:right w:val="nil"/>
            </w:tcBorders>
            <w:vAlign w:val="center"/>
            <w:hideMark/>
          </w:tcPr>
          <w:p w:rsidR="00BB4E9D" w:rsidRPr="00BB4E9D" w:rsidRDefault="00BB4E9D" w:rsidP="00BB4E9D">
            <w:pPr>
              <w:rPr>
                <w:rFonts w:eastAsia="Times New Roman" w:cs="Times New Roman"/>
                <w:b/>
                <w:bCs/>
                <w:color w:val="000000"/>
                <w:sz w:val="18"/>
              </w:rPr>
            </w:pPr>
          </w:p>
        </w:tc>
        <w:tc>
          <w:tcPr>
            <w:tcW w:w="567" w:type="pct"/>
            <w:tcBorders>
              <w:top w:val="nil"/>
              <w:left w:val="nil"/>
              <w:right w:val="nil"/>
            </w:tcBorders>
            <w:shd w:val="clear" w:color="auto" w:fill="auto"/>
            <w:vAlign w:val="bottom"/>
            <w:hideMark/>
          </w:tcPr>
          <w:p w:rsidR="00BB4E9D" w:rsidRPr="00BB4E9D" w:rsidRDefault="00BB4E9D" w:rsidP="00BB4E9D">
            <w:pPr>
              <w:jc w:val="right"/>
              <w:rPr>
                <w:rFonts w:eastAsia="Times New Roman" w:cs="Times New Roman"/>
                <w:b/>
                <w:bCs/>
                <w:color w:val="000000"/>
                <w:sz w:val="18"/>
              </w:rPr>
            </w:pPr>
            <w:r w:rsidRPr="00BB4E9D">
              <w:rPr>
                <w:rFonts w:eastAsia="Times New Roman" w:cs="Times New Roman"/>
                <w:b/>
                <w:bCs/>
                <w:color w:val="000000"/>
                <w:sz w:val="18"/>
              </w:rPr>
              <w:t>Coef. Est.</w:t>
            </w:r>
          </w:p>
        </w:tc>
        <w:tc>
          <w:tcPr>
            <w:tcW w:w="506" w:type="pct"/>
            <w:tcBorders>
              <w:top w:val="nil"/>
              <w:left w:val="nil"/>
              <w:right w:val="nil"/>
            </w:tcBorders>
            <w:shd w:val="clear" w:color="auto" w:fill="auto"/>
            <w:vAlign w:val="bottom"/>
            <w:hideMark/>
          </w:tcPr>
          <w:p w:rsidR="00BB4E9D" w:rsidRPr="00BB4E9D" w:rsidRDefault="00BB4E9D" w:rsidP="00BB4E9D">
            <w:pPr>
              <w:jc w:val="center"/>
              <w:rPr>
                <w:rFonts w:eastAsia="Times New Roman" w:cs="Times New Roman"/>
                <w:b/>
                <w:bCs/>
                <w:color w:val="000000"/>
                <w:sz w:val="18"/>
              </w:rPr>
            </w:pPr>
            <w:r w:rsidRPr="00BB4E9D">
              <w:rPr>
                <w:rFonts w:eastAsia="Times New Roman" w:cs="Times New Roman"/>
                <w:b/>
                <w:bCs/>
                <w:color w:val="000000"/>
                <w:sz w:val="18"/>
              </w:rPr>
              <w:t>Std. Error</w:t>
            </w:r>
          </w:p>
        </w:tc>
        <w:tc>
          <w:tcPr>
            <w:tcW w:w="453" w:type="pct"/>
            <w:vMerge/>
            <w:tcBorders>
              <w:top w:val="nil"/>
              <w:left w:val="nil"/>
              <w:right w:val="nil"/>
            </w:tcBorders>
            <w:vAlign w:val="center"/>
            <w:hideMark/>
          </w:tcPr>
          <w:p w:rsidR="00BB4E9D" w:rsidRPr="00BB4E9D" w:rsidRDefault="00BB4E9D" w:rsidP="00BB4E9D">
            <w:pPr>
              <w:rPr>
                <w:rFonts w:eastAsia="Times New Roman" w:cs="Times New Roman"/>
                <w:b/>
                <w:bCs/>
                <w:color w:val="000000"/>
                <w:sz w:val="18"/>
              </w:rPr>
            </w:pPr>
          </w:p>
        </w:tc>
        <w:tc>
          <w:tcPr>
            <w:tcW w:w="432" w:type="pct"/>
            <w:vMerge/>
            <w:tcBorders>
              <w:top w:val="nil"/>
              <w:left w:val="nil"/>
              <w:right w:val="nil"/>
            </w:tcBorders>
            <w:vAlign w:val="center"/>
            <w:hideMark/>
          </w:tcPr>
          <w:p w:rsidR="00BB4E9D" w:rsidRPr="00BB4E9D" w:rsidRDefault="00BB4E9D" w:rsidP="00BB4E9D">
            <w:pPr>
              <w:rPr>
                <w:rFonts w:eastAsia="Times New Roman" w:cs="Times New Roman"/>
                <w:b/>
                <w:bCs/>
                <w:color w:val="000000"/>
                <w:sz w:val="18"/>
              </w:rPr>
            </w:pPr>
          </w:p>
        </w:tc>
        <w:tc>
          <w:tcPr>
            <w:tcW w:w="493" w:type="pct"/>
            <w:tcBorders>
              <w:top w:val="nil"/>
              <w:left w:val="nil"/>
              <w:right w:val="nil"/>
            </w:tcBorders>
            <w:shd w:val="clear" w:color="auto" w:fill="auto"/>
            <w:vAlign w:val="bottom"/>
            <w:hideMark/>
          </w:tcPr>
          <w:p w:rsidR="00BB4E9D" w:rsidRPr="00BB4E9D" w:rsidRDefault="00ED7427" w:rsidP="00ED7427">
            <w:pPr>
              <w:jc w:val="right"/>
              <w:rPr>
                <w:rFonts w:eastAsia="Times New Roman" w:cs="Times New Roman"/>
                <w:b/>
                <w:bCs/>
                <w:color w:val="000000"/>
                <w:sz w:val="18"/>
              </w:rPr>
            </w:pPr>
            <w:r>
              <w:rPr>
                <w:rFonts w:eastAsia="Times New Roman" w:cs="Times New Roman"/>
                <w:b/>
                <w:bCs/>
                <w:color w:val="000000"/>
                <w:sz w:val="18"/>
              </w:rPr>
              <w:t>Adjusted-RS</w:t>
            </w:r>
            <w:r w:rsidR="00BB4E9D" w:rsidRPr="00BB4E9D">
              <w:rPr>
                <w:rFonts w:eastAsia="Times New Roman" w:cs="Times New Roman"/>
                <w:b/>
                <w:bCs/>
                <w:color w:val="000000"/>
                <w:sz w:val="18"/>
              </w:rPr>
              <w:t>quared</w:t>
            </w:r>
          </w:p>
        </w:tc>
        <w:tc>
          <w:tcPr>
            <w:tcW w:w="486" w:type="pct"/>
            <w:tcBorders>
              <w:top w:val="nil"/>
              <w:left w:val="nil"/>
              <w:right w:val="nil"/>
            </w:tcBorders>
            <w:shd w:val="clear" w:color="auto" w:fill="auto"/>
            <w:vAlign w:val="bottom"/>
            <w:hideMark/>
          </w:tcPr>
          <w:p w:rsidR="00BB4E9D" w:rsidRPr="00BB4E9D" w:rsidRDefault="00BB4E9D" w:rsidP="00BB4E9D">
            <w:pPr>
              <w:jc w:val="right"/>
              <w:rPr>
                <w:rFonts w:eastAsia="Times New Roman" w:cs="Times New Roman"/>
                <w:b/>
                <w:bCs/>
                <w:color w:val="000000"/>
                <w:sz w:val="18"/>
              </w:rPr>
            </w:pPr>
            <w:r w:rsidRPr="00BB4E9D">
              <w:rPr>
                <w:rFonts w:eastAsia="Times New Roman" w:cs="Times New Roman"/>
                <w:b/>
                <w:bCs/>
                <w:color w:val="000000"/>
                <w:sz w:val="18"/>
              </w:rPr>
              <w:t>F-value</w:t>
            </w:r>
          </w:p>
        </w:tc>
        <w:tc>
          <w:tcPr>
            <w:tcW w:w="486" w:type="pct"/>
            <w:tcBorders>
              <w:top w:val="nil"/>
              <w:left w:val="nil"/>
              <w:right w:val="nil"/>
            </w:tcBorders>
            <w:shd w:val="clear" w:color="auto" w:fill="auto"/>
            <w:vAlign w:val="bottom"/>
            <w:hideMark/>
          </w:tcPr>
          <w:p w:rsidR="00BB4E9D" w:rsidRPr="00BB4E9D" w:rsidRDefault="00BB4E9D" w:rsidP="00BB4E9D">
            <w:pPr>
              <w:jc w:val="right"/>
              <w:rPr>
                <w:rFonts w:eastAsia="Times New Roman" w:cs="Times New Roman"/>
                <w:b/>
                <w:bCs/>
                <w:color w:val="000000"/>
                <w:sz w:val="18"/>
              </w:rPr>
            </w:pPr>
            <w:r w:rsidRPr="00BB4E9D">
              <w:rPr>
                <w:rFonts w:eastAsia="Times New Roman" w:cs="Times New Roman"/>
                <w:b/>
                <w:bCs/>
                <w:color w:val="000000"/>
                <w:sz w:val="18"/>
              </w:rPr>
              <w:t>P-value</w:t>
            </w:r>
          </w:p>
        </w:tc>
      </w:tr>
      <w:tr w:rsidR="00BB4E9D" w:rsidRPr="00BB4E9D" w:rsidTr="00E6499D">
        <w:trPr>
          <w:trHeight w:val="216"/>
        </w:trPr>
        <w:tc>
          <w:tcPr>
            <w:tcW w:w="5000" w:type="pct"/>
            <w:gridSpan w:val="9"/>
            <w:tcBorders>
              <w:top w:val="nil"/>
              <w:left w:val="nil"/>
              <w:bottom w:val="nil"/>
              <w:right w:val="nil"/>
            </w:tcBorders>
            <w:shd w:val="solid" w:color="D9D9D9" w:themeColor="background1" w:themeShade="D9" w:fill="BFBFBF"/>
            <w:noWrap/>
            <w:vAlign w:val="bottom"/>
            <w:hideMark/>
          </w:tcPr>
          <w:p w:rsidR="00BB4E9D" w:rsidRPr="00BB4E9D" w:rsidRDefault="00BB4E9D" w:rsidP="00BB4E9D">
            <w:pPr>
              <w:rPr>
                <w:rFonts w:ascii="Calibri" w:eastAsia="Times New Roman" w:hAnsi="Calibri" w:cs="Times New Roman"/>
                <w:b/>
                <w:bCs/>
                <w:color w:val="000000"/>
                <w:sz w:val="18"/>
              </w:rPr>
            </w:pPr>
            <w:r w:rsidRPr="00BB4E9D">
              <w:rPr>
                <w:rFonts w:ascii="Calibri" w:eastAsia="Times New Roman" w:hAnsi="Calibri" w:cs="Times New Roman"/>
                <w:b/>
                <w:bCs/>
                <w:color w:val="000000"/>
                <w:sz w:val="18"/>
                <w:szCs w:val="22"/>
              </w:rPr>
              <w:t xml:space="preserve">--------------------------------------  </w:t>
            </w:r>
            <w:r w:rsidR="003E5E17">
              <w:rPr>
                <w:rFonts w:ascii="Calibri" w:eastAsia="Times New Roman" w:hAnsi="Calibri" w:cs="Times New Roman"/>
                <w:b/>
                <w:bCs/>
                <w:color w:val="000000"/>
                <w:sz w:val="18"/>
                <w:szCs w:val="22"/>
              </w:rPr>
              <w:t xml:space="preserve">LN </w:t>
            </w:r>
            <w:r w:rsidRPr="00BB4E9D">
              <w:rPr>
                <w:rFonts w:ascii="Calibri" w:eastAsia="Times New Roman" w:hAnsi="Calibri" w:cs="Times New Roman"/>
                <w:b/>
                <w:bCs/>
                <w:color w:val="000000"/>
                <w:sz w:val="18"/>
                <w:szCs w:val="22"/>
              </w:rPr>
              <w:t>Total Suspended Solids-----------------------------------------------------------</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complete</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0.5863</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0.0295</w:t>
            </w:r>
          </w:p>
        </w:tc>
        <w:tc>
          <w:tcPr>
            <w:tcW w:w="453"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19.87</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0.7218</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140.06</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regression</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0.0651</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0.0060</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10.89</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model</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0.2307</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0.0906</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2.55</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0.012</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0.4788</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0.0729</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6.57</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-0.0721</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0.0181</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-3.98</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-0.6508</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0.1120</w:t>
            </w:r>
          </w:p>
        </w:tc>
        <w:tc>
          <w:tcPr>
            <w:tcW w:w="453"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-5.81</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0.3083</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40.81</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flow</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0.6727</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0.1132</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5.94</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-0.1895</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0.0269</w:t>
            </w:r>
          </w:p>
        </w:tc>
        <w:tc>
          <w:tcPr>
            <w:tcW w:w="453"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-7.04</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0.5800</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0.0279</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20.78</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0.6725</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184.41</w:t>
            </w: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seasonal</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0.0723</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0.0064</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11.31</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factors</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-0.0569</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0.0193</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-2.94</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0.004</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0.3960</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0.0286</w:t>
            </w:r>
          </w:p>
        </w:tc>
        <w:tc>
          <w:tcPr>
            <w:tcW w:w="453"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13.85</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0.5979</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100.62</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flow-sq.</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0.2825</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0.1088</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2.60</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0.6098</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0.0864</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7.06</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-0.1156</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0.0212</w:t>
            </w:r>
          </w:p>
        </w:tc>
        <w:tc>
          <w:tcPr>
            <w:tcW w:w="453"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-5.45</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455ACB">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date/time only</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-0.1867</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0.0300</w:t>
            </w:r>
          </w:p>
        </w:tc>
        <w:tc>
          <w:tcPr>
            <w:tcW w:w="453"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-6.23</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0.1236</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38.79</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0.6250</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0.0287</w:t>
            </w:r>
          </w:p>
        </w:tc>
        <w:tc>
          <w:tcPr>
            <w:tcW w:w="453"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21.82</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0.7061</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161.99</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0.0704</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0.0060</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11.74</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0.2551</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0.0929</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2.74</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0.007</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62DAB">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0.4342</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0.0740</w:t>
            </w:r>
          </w:p>
        </w:tc>
        <w:tc>
          <w:tcPr>
            <w:tcW w:w="453"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5.87</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BB4E9D" w:rsidRPr="00BB4E9D" w:rsidTr="00B62DAB">
        <w:trPr>
          <w:trHeight w:val="216"/>
        </w:trPr>
        <w:tc>
          <w:tcPr>
            <w:tcW w:w="5000" w:type="pct"/>
            <w:gridSpan w:val="9"/>
            <w:tcBorders>
              <w:top w:val="single" w:sz="12" w:space="0" w:color="auto"/>
              <w:left w:val="single" w:sz="12" w:space="0" w:color="auto"/>
              <w:bottom w:val="nil"/>
              <w:right w:val="single" w:sz="12" w:space="0" w:color="auto"/>
            </w:tcBorders>
            <w:shd w:val="solid" w:color="D9D9D9" w:themeColor="background1" w:themeShade="D9" w:fill="BFBFBF"/>
            <w:noWrap/>
            <w:vAlign w:val="bottom"/>
            <w:hideMark/>
          </w:tcPr>
          <w:p w:rsidR="00BB4E9D" w:rsidRPr="009E5779" w:rsidRDefault="00BB4E9D" w:rsidP="00BB4E9D">
            <w:pPr>
              <w:rPr>
                <w:rFonts w:ascii="Calibri" w:eastAsia="Times New Roman" w:hAnsi="Calibri" w:cs="Times New Roman"/>
                <w:b/>
                <w:bCs/>
                <w:color w:val="000000"/>
                <w:sz w:val="18"/>
              </w:rPr>
            </w:pPr>
            <w:r w:rsidRPr="009E5779">
              <w:rPr>
                <w:rFonts w:ascii="Calibri" w:eastAsia="Times New Roman" w:hAnsi="Calibri" w:cs="Times New Roman"/>
                <w:b/>
                <w:bCs/>
                <w:color w:val="000000"/>
                <w:sz w:val="18"/>
                <w:szCs w:val="22"/>
              </w:rPr>
              <w:t xml:space="preserve">--------------------------------------  </w:t>
            </w:r>
            <w:r w:rsidR="003E5E17">
              <w:rPr>
                <w:rFonts w:ascii="Calibri" w:eastAsia="Times New Roman" w:hAnsi="Calibri" w:cs="Times New Roman"/>
                <w:b/>
                <w:bCs/>
                <w:color w:val="000000"/>
                <w:sz w:val="18"/>
                <w:szCs w:val="22"/>
              </w:rPr>
              <w:t xml:space="preserve">LN </w:t>
            </w:r>
            <w:r w:rsidRPr="009E5779">
              <w:rPr>
                <w:rFonts w:ascii="Calibri" w:eastAsia="Times New Roman" w:hAnsi="Calibri" w:cs="Times New Roman"/>
                <w:b/>
                <w:bCs/>
                <w:color w:val="000000"/>
                <w:sz w:val="18"/>
                <w:szCs w:val="22"/>
              </w:rPr>
              <w:t>Total Phosphorus -------------------------------------------------------------------</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complete</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0.2422</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0.0224</w:t>
            </w:r>
          </w:p>
        </w:tc>
        <w:tc>
          <w:tcPr>
            <w:tcW w:w="453"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10.83</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0.3906</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35.36</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regression</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0.0357</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0.0045</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7.88</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model</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0.3059</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0.0687</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4.46</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0.0660</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0.0552</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1.20</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0.233</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-0.0430</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0.0137</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-3.14</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0.002</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0.0095</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0.0648</w:t>
            </w:r>
          </w:p>
        </w:tc>
        <w:tc>
          <w:tcPr>
            <w:tcW w:w="453"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0.15</w:t>
            </w:r>
          </w:p>
        </w:tc>
        <w:tc>
          <w:tcPr>
            <w:tcW w:w="432"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0.883</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0.1179</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12.94</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flow</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0.1597</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0.0654</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2.44</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0.015</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-0.0926</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0.0156</w:t>
            </w:r>
          </w:p>
        </w:tc>
        <w:tc>
          <w:tcPr>
            <w:tcW w:w="453"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-5.95</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0.1993</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0.0202</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9.88</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0.3468</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48.42</w:t>
            </w: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seasonal</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0.0376</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0.0046</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8.13</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factors</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-0.0447</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0.0140</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-3.20</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0.002</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0.1378</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0.0200</w:t>
            </w:r>
          </w:p>
        </w:tc>
        <w:tc>
          <w:tcPr>
            <w:tcW w:w="453" w:type="pct"/>
            <w:tcBorders>
              <w:top w:val="single" w:sz="12" w:space="0" w:color="auto"/>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6.89</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0.2496</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23.29</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flow-sq.</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0.3343</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0.0761</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4.39</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0.1378</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0.0604</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2.28</w:t>
            </w:r>
          </w:p>
        </w:tc>
        <w:tc>
          <w:tcPr>
            <w:tcW w:w="432"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0.023</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-0.0668</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0.0148</w:t>
            </w:r>
          </w:p>
        </w:tc>
        <w:tc>
          <w:tcPr>
            <w:tcW w:w="453" w:type="pct"/>
            <w:tcBorders>
              <w:top w:val="nil"/>
              <w:left w:val="nil"/>
              <w:bottom w:val="single" w:sz="12" w:space="0" w:color="auto"/>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-4.51</w:t>
            </w:r>
          </w:p>
        </w:tc>
        <w:tc>
          <w:tcPr>
            <w:tcW w:w="432" w:type="pct"/>
            <w:tcBorders>
              <w:top w:val="nil"/>
              <w:left w:val="nil"/>
              <w:bottom w:val="single" w:sz="12" w:space="0" w:color="auto"/>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date/time only</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567"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-0.0883</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0.0155</w:t>
            </w:r>
          </w:p>
        </w:tc>
        <w:tc>
          <w:tcPr>
            <w:tcW w:w="453" w:type="pct"/>
            <w:tcBorders>
              <w:top w:val="nil"/>
              <w:left w:val="nil"/>
              <w:bottom w:val="nil"/>
              <w:right w:val="nil"/>
            </w:tcBorders>
            <w:shd w:val="clear" w:color="auto" w:fill="auto"/>
            <w:noWrap/>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-5.69</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0.1048</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32.38</w:t>
            </w: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without</w:t>
            </w:r>
          </w:p>
        </w:tc>
        <w:tc>
          <w:tcPr>
            <w:tcW w:w="666" w:type="pct"/>
            <w:tcBorders>
              <w:top w:val="single" w:sz="12" w:space="0" w:color="auto"/>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w:t>
            </w:r>
          </w:p>
        </w:tc>
        <w:tc>
          <w:tcPr>
            <w:tcW w:w="567"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0.2652</w:t>
            </w:r>
          </w:p>
        </w:tc>
        <w:tc>
          <w:tcPr>
            <w:tcW w:w="506"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0.0215</w:t>
            </w:r>
          </w:p>
        </w:tc>
        <w:tc>
          <w:tcPr>
            <w:tcW w:w="453" w:type="pct"/>
            <w:tcBorders>
              <w:top w:val="single" w:sz="12" w:space="0" w:color="auto"/>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12.35</w:t>
            </w:r>
          </w:p>
        </w:tc>
        <w:tc>
          <w:tcPr>
            <w:tcW w:w="432" w:type="pct"/>
            <w:tcBorders>
              <w:top w:val="single" w:sz="12" w:space="0" w:color="auto"/>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single" w:sz="12" w:space="0" w:color="auto"/>
              <w:left w:val="single" w:sz="12" w:space="0" w:color="auto"/>
              <w:bottom w:val="nil"/>
              <w:right w:val="nil"/>
            </w:tcBorders>
            <w:shd w:val="clear" w:color="auto" w:fill="auto"/>
            <w:noWrap/>
            <w:vAlign w:val="bottom"/>
            <w:hideMark/>
          </w:tcPr>
          <w:p w:rsidR="00BB4E9D" w:rsidRPr="00BB4E9D" w:rsidRDefault="00BB4E9D" w:rsidP="00B078EA">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0.3</w:t>
            </w:r>
            <w:r w:rsidR="00B078EA">
              <w:rPr>
                <w:rFonts w:ascii="Calibri" w:eastAsia="Times New Roman" w:hAnsi="Calibri" w:cs="Times New Roman"/>
                <w:color w:val="000000"/>
                <w:sz w:val="18"/>
                <w:szCs w:val="22"/>
              </w:rPr>
              <w:t>703</w:t>
            </w:r>
          </w:p>
        </w:tc>
        <w:tc>
          <w:tcPr>
            <w:tcW w:w="486" w:type="pct"/>
            <w:tcBorders>
              <w:top w:val="single" w:sz="12" w:space="0" w:color="auto"/>
              <w:left w:val="nil"/>
              <w:bottom w:val="nil"/>
              <w:right w:val="nil"/>
            </w:tcBorders>
            <w:shd w:val="clear" w:color="auto" w:fill="auto"/>
            <w:noWrap/>
            <w:vAlign w:val="bottom"/>
            <w:hideMark/>
          </w:tcPr>
          <w:p w:rsidR="00BB4E9D" w:rsidRPr="00BB4E9D" w:rsidRDefault="00BB4E9D" w:rsidP="00BB4E9D">
            <w:pPr>
              <w:jc w:val="right"/>
              <w:rPr>
                <w:rFonts w:ascii="Calibri" w:eastAsia="Times New Roman" w:hAnsi="Calibri" w:cs="Times New Roman"/>
                <w:color w:val="000000"/>
                <w:sz w:val="18"/>
              </w:rPr>
            </w:pPr>
            <w:r w:rsidRPr="00BB4E9D">
              <w:rPr>
                <w:rFonts w:ascii="Calibri" w:eastAsia="Times New Roman" w:hAnsi="Calibri" w:cs="Times New Roman"/>
                <w:color w:val="000000"/>
                <w:sz w:val="18"/>
                <w:szCs w:val="22"/>
              </w:rPr>
              <w:t>40.39</w:t>
            </w:r>
          </w:p>
        </w:tc>
        <w:tc>
          <w:tcPr>
            <w:tcW w:w="486" w:type="pct"/>
            <w:tcBorders>
              <w:top w:val="single" w:sz="12" w:space="0" w:color="auto"/>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&lt;0.0001</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date</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LN_Q2</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0.0388</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0.0045</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8.65</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nil"/>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SIN_DAY</w:t>
            </w:r>
          </w:p>
        </w:tc>
        <w:tc>
          <w:tcPr>
            <w:tcW w:w="567"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0.3205</w:t>
            </w:r>
          </w:p>
        </w:tc>
        <w:tc>
          <w:tcPr>
            <w:tcW w:w="506"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0.0696</w:t>
            </w:r>
          </w:p>
        </w:tc>
        <w:tc>
          <w:tcPr>
            <w:tcW w:w="453" w:type="pct"/>
            <w:tcBorders>
              <w:top w:val="nil"/>
              <w:left w:val="nil"/>
              <w:bottom w:val="nil"/>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4.60</w:t>
            </w:r>
          </w:p>
        </w:tc>
        <w:tc>
          <w:tcPr>
            <w:tcW w:w="432" w:type="pct"/>
            <w:tcBorders>
              <w:top w:val="nil"/>
              <w:left w:val="nil"/>
              <w:bottom w:val="nil"/>
              <w:right w:val="nil"/>
            </w:tcBorders>
            <w:shd w:val="clear" w:color="auto" w:fill="auto"/>
            <w:hideMark/>
          </w:tcPr>
          <w:p w:rsidR="00BB4E9D" w:rsidRPr="00BB4E9D" w:rsidRDefault="002F14A0" w:rsidP="00BB4E9D">
            <w:pPr>
              <w:jc w:val="right"/>
              <w:rPr>
                <w:rFonts w:eastAsia="Times New Roman" w:cs="Times New Roman"/>
                <w:color w:val="000000"/>
                <w:sz w:val="18"/>
              </w:rPr>
            </w:pPr>
            <w:r>
              <w:rPr>
                <w:rFonts w:eastAsia="Times New Roman" w:cs="Times New Roman"/>
                <w:color w:val="000000"/>
                <w:sz w:val="18"/>
              </w:rPr>
              <w:t>&lt;0.0001</w:t>
            </w:r>
          </w:p>
        </w:tc>
        <w:tc>
          <w:tcPr>
            <w:tcW w:w="493" w:type="pct"/>
            <w:tcBorders>
              <w:top w:val="nil"/>
              <w:left w:val="single" w:sz="12" w:space="0" w:color="auto"/>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nil"/>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p>
        </w:tc>
        <w:tc>
          <w:tcPr>
            <w:tcW w:w="486" w:type="pct"/>
            <w:tcBorders>
              <w:top w:val="nil"/>
              <w:left w:val="nil"/>
              <w:bottom w:val="nil"/>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r w:rsidR="00ED7427" w:rsidRPr="00BB4E9D" w:rsidTr="00BB4E9D">
        <w:trPr>
          <w:trHeight w:val="216"/>
        </w:trPr>
        <w:tc>
          <w:tcPr>
            <w:tcW w:w="911"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 </w:t>
            </w:r>
          </w:p>
        </w:tc>
        <w:tc>
          <w:tcPr>
            <w:tcW w:w="666" w:type="pct"/>
            <w:tcBorders>
              <w:top w:val="nil"/>
              <w:left w:val="single" w:sz="12" w:space="0" w:color="auto"/>
              <w:bottom w:val="single" w:sz="12" w:space="0" w:color="auto"/>
              <w:right w:val="nil"/>
            </w:tcBorders>
            <w:shd w:val="clear" w:color="auto" w:fill="auto"/>
            <w:hideMark/>
          </w:tcPr>
          <w:p w:rsidR="00BB4E9D" w:rsidRPr="00BB4E9D" w:rsidRDefault="00BB4E9D" w:rsidP="00BB4E9D">
            <w:pPr>
              <w:rPr>
                <w:rFonts w:eastAsia="Times New Roman" w:cs="Times New Roman"/>
                <w:b/>
                <w:bCs/>
                <w:color w:val="000000"/>
                <w:sz w:val="18"/>
              </w:rPr>
            </w:pPr>
            <w:r w:rsidRPr="00BB4E9D">
              <w:rPr>
                <w:rFonts w:eastAsia="Times New Roman" w:cs="Times New Roman"/>
                <w:b/>
                <w:bCs/>
                <w:color w:val="000000"/>
                <w:sz w:val="18"/>
              </w:rPr>
              <w:t>COS_DAY</w:t>
            </w:r>
          </w:p>
        </w:tc>
        <w:tc>
          <w:tcPr>
            <w:tcW w:w="567"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0.0394</w:t>
            </w:r>
          </w:p>
        </w:tc>
        <w:tc>
          <w:tcPr>
            <w:tcW w:w="506"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0.0555</w:t>
            </w:r>
          </w:p>
        </w:tc>
        <w:tc>
          <w:tcPr>
            <w:tcW w:w="453"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0.71</w:t>
            </w:r>
          </w:p>
        </w:tc>
        <w:tc>
          <w:tcPr>
            <w:tcW w:w="432" w:type="pct"/>
            <w:tcBorders>
              <w:top w:val="nil"/>
              <w:left w:val="nil"/>
              <w:bottom w:val="single" w:sz="12" w:space="0" w:color="auto"/>
              <w:right w:val="nil"/>
            </w:tcBorders>
            <w:shd w:val="clear" w:color="auto" w:fill="auto"/>
            <w:hideMark/>
          </w:tcPr>
          <w:p w:rsidR="00BB4E9D" w:rsidRPr="00BB4E9D" w:rsidRDefault="00BB4E9D" w:rsidP="00BB4E9D">
            <w:pPr>
              <w:jc w:val="right"/>
              <w:rPr>
                <w:rFonts w:eastAsia="Times New Roman" w:cs="Times New Roman"/>
                <w:color w:val="000000"/>
                <w:sz w:val="18"/>
              </w:rPr>
            </w:pPr>
            <w:r w:rsidRPr="00BB4E9D">
              <w:rPr>
                <w:rFonts w:eastAsia="Times New Roman" w:cs="Times New Roman"/>
                <w:color w:val="000000"/>
                <w:sz w:val="18"/>
              </w:rPr>
              <w:t>0.478</w:t>
            </w:r>
          </w:p>
        </w:tc>
        <w:tc>
          <w:tcPr>
            <w:tcW w:w="493" w:type="pct"/>
            <w:tcBorders>
              <w:top w:val="nil"/>
              <w:left w:val="single" w:sz="12" w:space="0" w:color="auto"/>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nil"/>
            </w:tcBorders>
            <w:shd w:val="clear" w:color="auto" w:fill="auto"/>
            <w:noWrap/>
            <w:vAlign w:val="bottom"/>
            <w:hideMark/>
          </w:tcPr>
          <w:p w:rsidR="00BB4E9D" w:rsidRPr="00BB4E9D" w:rsidRDefault="00BB4E9D" w:rsidP="00BB4E9D">
            <w:pP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c>
          <w:tcPr>
            <w:tcW w:w="486" w:type="pct"/>
            <w:tcBorders>
              <w:top w:val="nil"/>
              <w:left w:val="nil"/>
              <w:bottom w:val="single" w:sz="12" w:space="0" w:color="auto"/>
              <w:right w:val="single" w:sz="12" w:space="0" w:color="auto"/>
            </w:tcBorders>
            <w:shd w:val="clear" w:color="auto" w:fill="auto"/>
            <w:noWrap/>
            <w:vAlign w:val="bottom"/>
            <w:hideMark/>
          </w:tcPr>
          <w:p w:rsidR="00BB4E9D" w:rsidRPr="00BB4E9D" w:rsidRDefault="00BB4E9D" w:rsidP="00BB4E9D">
            <w:pPr>
              <w:jc w:val="center"/>
              <w:rPr>
                <w:rFonts w:ascii="Calibri" w:eastAsia="Times New Roman" w:hAnsi="Calibri" w:cs="Times New Roman"/>
                <w:color w:val="000000"/>
                <w:sz w:val="18"/>
              </w:rPr>
            </w:pPr>
            <w:r w:rsidRPr="00BB4E9D">
              <w:rPr>
                <w:rFonts w:ascii="Calibri" w:eastAsia="Times New Roman" w:hAnsi="Calibri" w:cs="Times New Roman"/>
                <w:color w:val="000000"/>
                <w:sz w:val="18"/>
                <w:szCs w:val="22"/>
              </w:rPr>
              <w:t> </w:t>
            </w:r>
          </w:p>
        </w:tc>
      </w:tr>
    </w:tbl>
    <w:p w:rsidR="00450847" w:rsidRDefault="00450847" w:rsidP="00CE568B"/>
    <w:p w:rsidR="00450847" w:rsidRDefault="00450847">
      <w:pPr>
        <w:spacing w:after="200" w:line="276" w:lineRule="auto"/>
      </w:pPr>
      <w:r>
        <w:br w:type="page"/>
      </w:r>
    </w:p>
    <w:p w:rsidR="00F07940" w:rsidRPr="00450847" w:rsidRDefault="00450847" w:rsidP="00450847">
      <w:pPr>
        <w:pStyle w:val="Heading3"/>
        <w:rPr>
          <w:b/>
        </w:rPr>
      </w:pPr>
      <w:r w:rsidRPr="00450847">
        <w:lastRenderedPageBreak/>
        <w:t>Further Investigation: Period 3 vs Period 4 Comparison with Non-Parametric Tests</w:t>
      </w:r>
      <w:r w:rsidRPr="00DA54DC">
        <w:rPr>
          <w:rFonts w:cs="Times New Roman"/>
          <w:u w:val="none"/>
        </w:rPr>
        <w:t>:</w:t>
      </w:r>
    </w:p>
    <w:p w:rsidR="007A3ECA" w:rsidRDefault="007A3ECA" w:rsidP="00450847">
      <w:pPr>
        <w:spacing w:after="120"/>
        <w:rPr>
          <w:rFonts w:cs="Times New Roman"/>
        </w:rPr>
      </w:pPr>
      <w:r w:rsidRPr="00CE3E9B">
        <w:rPr>
          <w:rFonts w:cs="Times New Roman"/>
        </w:rPr>
        <w:t xml:space="preserve">The results from the </w:t>
      </w:r>
      <w:r w:rsidR="00291BB2">
        <w:rPr>
          <w:rFonts w:cs="Times New Roman"/>
        </w:rPr>
        <w:t xml:space="preserve">previous </w:t>
      </w:r>
      <w:r w:rsidRPr="00CE3E9B">
        <w:rPr>
          <w:rFonts w:cs="Times New Roman"/>
        </w:rPr>
        <w:t xml:space="preserve">regression analysis suggest that </w:t>
      </w:r>
      <w:r>
        <w:rPr>
          <w:rFonts w:cs="Times New Roman"/>
        </w:rPr>
        <w:t xml:space="preserve">TSS </w:t>
      </w:r>
      <w:r w:rsidR="008B1D41">
        <w:rPr>
          <w:rFonts w:cs="Times New Roman"/>
        </w:rPr>
        <w:t xml:space="preserve">and TP </w:t>
      </w:r>
      <w:r w:rsidRPr="00CE3E9B">
        <w:rPr>
          <w:rFonts w:cs="Times New Roman"/>
        </w:rPr>
        <w:t xml:space="preserve">concentrations </w:t>
      </w:r>
      <w:r>
        <w:rPr>
          <w:rFonts w:cs="Times New Roman"/>
        </w:rPr>
        <w:t xml:space="preserve">may </w:t>
      </w:r>
      <w:r w:rsidRPr="00CE3E9B">
        <w:rPr>
          <w:rFonts w:cs="Times New Roman"/>
        </w:rPr>
        <w:t xml:space="preserve">have decreased </w:t>
      </w:r>
      <w:r>
        <w:rPr>
          <w:rFonts w:cs="Times New Roman"/>
        </w:rPr>
        <w:t>from USG</w:t>
      </w:r>
      <w:r w:rsidR="008B1D41">
        <w:rPr>
          <w:rFonts w:cs="Times New Roman"/>
        </w:rPr>
        <w:t>S water years 2004 to 2013</w:t>
      </w:r>
      <w:r w:rsidR="00291BB2">
        <w:rPr>
          <w:rFonts w:cs="Times New Roman"/>
        </w:rPr>
        <w:t xml:space="preserve">: </w:t>
      </w:r>
      <w:r w:rsidR="008B1D41">
        <w:rPr>
          <w:rFonts w:cs="Times New Roman"/>
        </w:rPr>
        <w:t xml:space="preserve">p &lt; </w:t>
      </w:r>
      <w:r>
        <w:rPr>
          <w:rFonts w:cs="Times New Roman"/>
        </w:rPr>
        <w:t>0.0001</w:t>
      </w:r>
      <w:r w:rsidR="008B1D41">
        <w:rPr>
          <w:rFonts w:cs="Times New Roman"/>
        </w:rPr>
        <w:t xml:space="preserve"> and p = 0.0019, respectively</w:t>
      </w:r>
      <w:r w:rsidRPr="00CE3E9B">
        <w:rPr>
          <w:rFonts w:cs="Times New Roman"/>
        </w:rPr>
        <w:t xml:space="preserve">.  To further </w:t>
      </w:r>
      <w:r>
        <w:rPr>
          <w:rFonts w:cs="Times New Roman"/>
        </w:rPr>
        <w:t xml:space="preserve">investigate </w:t>
      </w:r>
      <w:r w:rsidRPr="00CE3E9B">
        <w:rPr>
          <w:rFonts w:cs="Times New Roman"/>
        </w:rPr>
        <w:t>the</w:t>
      </w:r>
      <w:r>
        <w:rPr>
          <w:rFonts w:cs="Times New Roman"/>
        </w:rPr>
        <w:t>se</w:t>
      </w:r>
      <w:r w:rsidRPr="00CE3E9B">
        <w:rPr>
          <w:rFonts w:cs="Times New Roman"/>
        </w:rPr>
        <w:t xml:space="preserve"> regression results, the non-parametric Wilcoxon Rank sum test was </w:t>
      </w:r>
      <w:r>
        <w:rPr>
          <w:rFonts w:cs="Times New Roman"/>
        </w:rPr>
        <w:t xml:space="preserve">applied </w:t>
      </w:r>
      <w:r w:rsidRPr="00CE3E9B">
        <w:rPr>
          <w:rFonts w:cs="Times New Roman"/>
        </w:rPr>
        <w:t xml:space="preserve">to compare the </w:t>
      </w:r>
      <w:r>
        <w:rPr>
          <w:rFonts w:cs="Times New Roman"/>
        </w:rPr>
        <w:t>third (</w:t>
      </w:r>
      <w:r w:rsidR="00B61E16">
        <w:rPr>
          <w:rFonts w:cs="Times New Roman"/>
        </w:rPr>
        <w:t>WY</w:t>
      </w:r>
      <w:r w:rsidR="00C70BD0">
        <w:rPr>
          <w:rFonts w:cs="Times New Roman"/>
        </w:rPr>
        <w:t xml:space="preserve"> </w:t>
      </w:r>
      <w:r>
        <w:rPr>
          <w:rFonts w:cs="Times New Roman"/>
        </w:rPr>
        <w:t>2004 to 200</w:t>
      </w:r>
      <w:r w:rsidR="00A3612F">
        <w:rPr>
          <w:rFonts w:cs="Times New Roman"/>
        </w:rPr>
        <w:t>7</w:t>
      </w:r>
      <w:r>
        <w:rPr>
          <w:rFonts w:cs="Times New Roman"/>
        </w:rPr>
        <w:t xml:space="preserve">) and fourth (July 2010 to 2013) </w:t>
      </w:r>
      <w:r w:rsidRPr="00CE3E9B">
        <w:rPr>
          <w:rFonts w:cs="Times New Roman"/>
        </w:rPr>
        <w:t>period</w:t>
      </w:r>
      <w:r>
        <w:rPr>
          <w:rFonts w:cs="Times New Roman"/>
        </w:rPr>
        <w:t>s</w:t>
      </w:r>
      <w:r w:rsidRPr="00CE3E9B">
        <w:rPr>
          <w:rFonts w:cs="Times New Roman"/>
        </w:rPr>
        <w:t xml:space="preserve"> with regards to </w:t>
      </w:r>
      <w:r>
        <w:rPr>
          <w:rFonts w:cs="Times New Roman"/>
        </w:rPr>
        <w:t>TSS, TP, DP, DP/TP and flow</w:t>
      </w:r>
      <w:r w:rsidRPr="00CE3E9B">
        <w:rPr>
          <w:rFonts w:cs="Times New Roman"/>
        </w:rPr>
        <w:t xml:space="preserve">. </w:t>
      </w:r>
      <w:r w:rsidR="00BD67A7">
        <w:rPr>
          <w:rFonts w:cs="Times New Roman"/>
        </w:rPr>
        <w:t xml:space="preserve"> For consistency, samples that were considered potential outliers in the regression analysis were also excluded from the non-parametric analysis.</w:t>
      </w:r>
      <w:r w:rsidR="00DA54DC">
        <w:rPr>
          <w:rFonts w:cs="Times New Roman"/>
        </w:rPr>
        <w:t xml:space="preserve">  </w:t>
      </w:r>
      <w:r w:rsidR="00BD67A7">
        <w:rPr>
          <w:rFonts w:cs="Times New Roman"/>
        </w:rPr>
        <w:t xml:space="preserve"> </w:t>
      </w:r>
      <w:r w:rsidR="00DA54DC">
        <w:rPr>
          <w:rFonts w:cs="Times New Roman"/>
        </w:rPr>
        <w:t>F</w:t>
      </w:r>
      <w:r w:rsidRPr="00DA54DC">
        <w:rPr>
          <w:rFonts w:cs="Times New Roman"/>
        </w:rPr>
        <w:t xml:space="preserve">or the purposes of this investigation, data from </w:t>
      </w:r>
      <w:r w:rsidRPr="00DA54DC">
        <w:t>USGS water years 2008 to 2009 were considered transitional years, so these data were not included in this portion of the analysis.</w:t>
      </w:r>
      <w:r w:rsidRPr="00A3612F">
        <w:t xml:space="preserve"> </w:t>
      </w:r>
      <w:r w:rsidR="00DA54DC">
        <w:t xml:space="preserve"> </w:t>
      </w:r>
      <w:r w:rsidR="00C70BD0">
        <w:t>O</w:t>
      </w:r>
      <w:r>
        <w:t xml:space="preserve">nly five samples were collected </w:t>
      </w:r>
      <w:r w:rsidR="00C70BD0">
        <w:t>during water years 2010 and 2011</w:t>
      </w:r>
      <w:r>
        <w:t>and these samples were included within Period 4 of this analysis.  W</w:t>
      </w:r>
      <w:r>
        <w:rPr>
          <w:rFonts w:cs="Times New Roman"/>
        </w:rPr>
        <w:t xml:space="preserve">hen data under all flow regimes were included in the Wilcoxon Rank sum test, </w:t>
      </w:r>
      <w:r w:rsidRPr="00CE3E9B">
        <w:rPr>
          <w:rFonts w:cs="Times New Roman"/>
        </w:rPr>
        <w:t>T</w:t>
      </w:r>
      <w:r>
        <w:rPr>
          <w:rFonts w:cs="Times New Roman"/>
        </w:rPr>
        <w:t>SS</w:t>
      </w:r>
      <w:r w:rsidRPr="00CE3E9B">
        <w:rPr>
          <w:rFonts w:cs="Times New Roman"/>
        </w:rPr>
        <w:t xml:space="preserve"> (p</w:t>
      </w:r>
      <w:r w:rsidR="00996328">
        <w:rPr>
          <w:rFonts w:cs="Times New Roman"/>
        </w:rPr>
        <w:t xml:space="preserve"> </w:t>
      </w:r>
      <w:r>
        <w:rPr>
          <w:rFonts w:cs="Times New Roman"/>
        </w:rPr>
        <w:t>&lt;</w:t>
      </w:r>
      <w:r w:rsidR="00996328">
        <w:rPr>
          <w:rFonts w:cs="Times New Roman"/>
        </w:rPr>
        <w:t xml:space="preserve"> </w:t>
      </w:r>
      <w:r w:rsidRPr="00CE3E9B">
        <w:rPr>
          <w:rFonts w:cs="Times New Roman"/>
        </w:rPr>
        <w:t>0.0</w:t>
      </w:r>
      <w:r>
        <w:rPr>
          <w:rFonts w:cs="Times New Roman"/>
        </w:rPr>
        <w:t>001) and T</w:t>
      </w:r>
      <w:r w:rsidRPr="00CE3E9B">
        <w:rPr>
          <w:rFonts w:cs="Times New Roman"/>
        </w:rPr>
        <w:t>P (p</w:t>
      </w:r>
      <w:r>
        <w:rPr>
          <w:rFonts w:cs="Times New Roman"/>
        </w:rPr>
        <w:t xml:space="preserve"> = </w:t>
      </w:r>
      <w:r w:rsidRPr="00CE3E9B">
        <w:rPr>
          <w:rFonts w:cs="Times New Roman"/>
        </w:rPr>
        <w:t>0.0</w:t>
      </w:r>
      <w:r>
        <w:rPr>
          <w:rFonts w:cs="Times New Roman"/>
        </w:rPr>
        <w:t xml:space="preserve">020) </w:t>
      </w:r>
      <w:r w:rsidRPr="00CE3E9B">
        <w:rPr>
          <w:rFonts w:cs="Times New Roman"/>
        </w:rPr>
        <w:t xml:space="preserve">concentrations </w:t>
      </w:r>
      <w:r>
        <w:rPr>
          <w:rFonts w:cs="Times New Roman"/>
        </w:rPr>
        <w:t xml:space="preserve">were found to be significantly </w:t>
      </w:r>
      <w:r w:rsidRPr="00CE3E9B">
        <w:rPr>
          <w:rFonts w:cs="Times New Roman"/>
        </w:rPr>
        <w:t xml:space="preserve">lower </w:t>
      </w:r>
      <w:r>
        <w:rPr>
          <w:rFonts w:cs="Times New Roman"/>
        </w:rPr>
        <w:t>during Period 4</w:t>
      </w:r>
      <w:r w:rsidRPr="00CE3E9B">
        <w:rPr>
          <w:rFonts w:cs="Times New Roman"/>
        </w:rPr>
        <w:t xml:space="preserve">.  </w:t>
      </w:r>
      <w:r>
        <w:rPr>
          <w:rFonts w:cs="Times New Roman"/>
        </w:rPr>
        <w:t xml:space="preserve">These results are summarized in Table </w:t>
      </w:r>
      <w:r w:rsidR="009E5779">
        <w:rPr>
          <w:rFonts w:cs="Times New Roman"/>
        </w:rPr>
        <w:t>4</w:t>
      </w:r>
      <w:r>
        <w:rPr>
          <w:rFonts w:cs="Times New Roman"/>
        </w:rPr>
        <w:t xml:space="preserve"> under the second column (all flows).</w:t>
      </w:r>
    </w:p>
    <w:p w:rsidR="007A3ECA" w:rsidRPr="000A2FDD" w:rsidRDefault="007A3ECA" w:rsidP="007A3ECA">
      <w:pPr>
        <w:spacing w:after="120"/>
        <w:ind w:firstLine="720"/>
        <w:rPr>
          <w:rFonts w:cs="Times New Roman"/>
        </w:rPr>
      </w:pPr>
      <w:r>
        <w:rPr>
          <w:rFonts w:cs="Times New Roman"/>
        </w:rPr>
        <w:t>However, t</w:t>
      </w:r>
      <w:r w:rsidRPr="00CE3E9B">
        <w:rPr>
          <w:rFonts w:cs="Times New Roman"/>
        </w:rPr>
        <w:t>he flow</w:t>
      </w:r>
      <w:r w:rsidR="000A2FDD">
        <w:rPr>
          <w:rFonts w:cs="Times New Roman"/>
        </w:rPr>
        <w:t>s</w:t>
      </w:r>
      <w:r w:rsidRPr="00CE3E9B">
        <w:rPr>
          <w:rFonts w:cs="Times New Roman"/>
        </w:rPr>
        <w:t xml:space="preserve"> associated with </w:t>
      </w:r>
      <w:r>
        <w:rPr>
          <w:rFonts w:cs="Times New Roman"/>
        </w:rPr>
        <w:t xml:space="preserve">the </w:t>
      </w:r>
      <w:r w:rsidRPr="00CE3E9B">
        <w:rPr>
          <w:rFonts w:cs="Times New Roman"/>
        </w:rPr>
        <w:t>samples w</w:t>
      </w:r>
      <w:r w:rsidR="000A2FDD">
        <w:rPr>
          <w:rFonts w:cs="Times New Roman"/>
        </w:rPr>
        <w:t>ere</w:t>
      </w:r>
      <w:r w:rsidRPr="00CE3E9B">
        <w:rPr>
          <w:rFonts w:cs="Times New Roman"/>
        </w:rPr>
        <w:t xml:space="preserve"> significantly different between the </w:t>
      </w:r>
      <w:r>
        <w:rPr>
          <w:rFonts w:cs="Times New Roman"/>
        </w:rPr>
        <w:t xml:space="preserve">third and fourth </w:t>
      </w:r>
      <w:r w:rsidRPr="00CE3E9B">
        <w:rPr>
          <w:rFonts w:cs="Times New Roman"/>
        </w:rPr>
        <w:t>periods (Wilcoxon Rank sum test, p</w:t>
      </w:r>
      <w:r>
        <w:rPr>
          <w:rFonts w:cs="Times New Roman"/>
        </w:rPr>
        <w:t xml:space="preserve"> = </w:t>
      </w:r>
      <w:r w:rsidRPr="00CE3E9B">
        <w:rPr>
          <w:rFonts w:cs="Times New Roman"/>
        </w:rPr>
        <w:t>0.0</w:t>
      </w:r>
      <w:r>
        <w:rPr>
          <w:rFonts w:cs="Times New Roman"/>
        </w:rPr>
        <w:t>0</w:t>
      </w:r>
      <w:r w:rsidR="002B4D9A">
        <w:rPr>
          <w:rFonts w:cs="Times New Roman"/>
        </w:rPr>
        <w:t>4</w:t>
      </w:r>
      <w:r>
        <w:rPr>
          <w:rFonts w:cs="Times New Roman"/>
        </w:rPr>
        <w:t>)</w:t>
      </w:r>
      <w:r w:rsidRPr="00CE3E9B">
        <w:rPr>
          <w:rFonts w:cs="Times New Roman"/>
        </w:rPr>
        <w:t>, with the third period having greater flow than the f</w:t>
      </w:r>
      <w:r>
        <w:rPr>
          <w:rFonts w:cs="Times New Roman"/>
        </w:rPr>
        <w:t>ourth</w:t>
      </w:r>
      <w:r w:rsidRPr="00CE3E9B">
        <w:rPr>
          <w:rFonts w:cs="Times New Roman"/>
        </w:rPr>
        <w:t xml:space="preserve"> period.  </w:t>
      </w:r>
      <w:r w:rsidR="00534CAC">
        <w:rPr>
          <w:rFonts w:cs="Times New Roman"/>
        </w:rPr>
        <w:t>In additio</w:t>
      </w:r>
      <w:r w:rsidR="00534CAC" w:rsidRPr="000A2FDD">
        <w:rPr>
          <w:rFonts w:cs="Times New Roman"/>
        </w:rPr>
        <w:t xml:space="preserve">n, </w:t>
      </w:r>
      <w:r w:rsidRPr="000A2FDD">
        <w:rPr>
          <w:rFonts w:cs="Times New Roman"/>
        </w:rPr>
        <w:t>TSS (r</w:t>
      </w:r>
      <w:r w:rsidR="00B60A9C" w:rsidRPr="000A2FDD">
        <w:rPr>
          <w:rFonts w:cs="Times New Roman"/>
        </w:rPr>
        <w:t xml:space="preserve"> </w:t>
      </w:r>
      <w:r w:rsidRPr="000A2FDD">
        <w:rPr>
          <w:rFonts w:cs="Times New Roman"/>
        </w:rPr>
        <w:t>=</w:t>
      </w:r>
      <w:r w:rsidR="00B60A9C" w:rsidRPr="000A2FDD">
        <w:rPr>
          <w:rFonts w:cs="Times New Roman"/>
        </w:rPr>
        <w:t xml:space="preserve"> </w:t>
      </w:r>
      <w:r w:rsidRPr="000A2FDD">
        <w:rPr>
          <w:rFonts w:cs="Times New Roman"/>
        </w:rPr>
        <w:t>0.</w:t>
      </w:r>
      <w:r w:rsidR="00B60A9C" w:rsidRPr="000A2FDD">
        <w:rPr>
          <w:rFonts w:cs="Times New Roman"/>
        </w:rPr>
        <w:t>53</w:t>
      </w:r>
      <w:r w:rsidRPr="000A2FDD">
        <w:rPr>
          <w:rFonts w:cs="Times New Roman"/>
        </w:rPr>
        <w:t>) and TP ((r = 0.5</w:t>
      </w:r>
      <w:r w:rsidR="00B60A9C" w:rsidRPr="000A2FDD">
        <w:rPr>
          <w:rFonts w:cs="Times New Roman"/>
        </w:rPr>
        <w:t>7</w:t>
      </w:r>
      <w:r w:rsidRPr="000A2FDD">
        <w:rPr>
          <w:rFonts w:cs="Times New Roman"/>
        </w:rPr>
        <w:t xml:space="preserve">) concentrations were positively correlated with flow.  Therefore, the possibility that lower stream flow during Period 4 was the primary reason for the observed concentrations of TSS and TP being lower cannot be </w:t>
      </w:r>
      <w:r w:rsidR="00534CAC" w:rsidRPr="000A2FDD">
        <w:rPr>
          <w:rFonts w:cs="Times New Roman"/>
        </w:rPr>
        <w:t xml:space="preserve">completely </w:t>
      </w:r>
      <w:r w:rsidRPr="000A2FDD">
        <w:rPr>
          <w:rFonts w:cs="Times New Roman"/>
        </w:rPr>
        <w:t>ruled out.  Still,</w:t>
      </w:r>
      <w:r w:rsidR="001E75BE" w:rsidRPr="000A2FDD">
        <w:rPr>
          <w:rFonts w:cs="Times New Roman"/>
        </w:rPr>
        <w:t xml:space="preserve"> </w:t>
      </w:r>
      <w:r w:rsidRPr="000A2FDD">
        <w:rPr>
          <w:rFonts w:cs="Times New Roman"/>
        </w:rPr>
        <w:t>some high flows in the third period could also be the result of relatively clean snow melt or groundwater recharge, which might tend to dilute TSS or phosphorus concentrations in the stream.</w:t>
      </w:r>
    </w:p>
    <w:p w:rsidR="00943BED" w:rsidRDefault="007A3ECA" w:rsidP="00943BED">
      <w:pPr>
        <w:spacing w:after="120"/>
        <w:ind w:firstLine="720"/>
        <w:rPr>
          <w:rFonts w:cs="Times New Roman"/>
        </w:rPr>
      </w:pPr>
      <w:r w:rsidRPr="000A2FDD">
        <w:rPr>
          <w:rFonts w:cs="Times New Roman"/>
        </w:rPr>
        <w:t>To determine how sensitive these resul</w:t>
      </w:r>
      <w:r>
        <w:rPr>
          <w:rFonts w:cs="Times New Roman"/>
        </w:rPr>
        <w:t>ts might be to potential differences in flow, t</w:t>
      </w:r>
      <w:r w:rsidRPr="00CE3E9B">
        <w:rPr>
          <w:rFonts w:cs="Times New Roman"/>
        </w:rPr>
        <w:t xml:space="preserve">he non-parametric Wilcoxon Rank sum test was performed on </w:t>
      </w:r>
      <w:r>
        <w:rPr>
          <w:rFonts w:cs="Times New Roman"/>
        </w:rPr>
        <w:t xml:space="preserve">the </w:t>
      </w:r>
      <w:r w:rsidRPr="00CE3E9B">
        <w:rPr>
          <w:rFonts w:cs="Times New Roman"/>
        </w:rPr>
        <w:t>data with regards to various flow censoring scenarios</w:t>
      </w:r>
      <w:r w:rsidR="00791C59">
        <w:rPr>
          <w:rFonts w:cs="Times New Roman"/>
        </w:rPr>
        <w:t xml:space="preserve">, </w:t>
      </w:r>
      <w:r w:rsidR="002B4D9A">
        <w:rPr>
          <w:rFonts w:cs="Times New Roman"/>
        </w:rPr>
        <w:t xml:space="preserve">similar to </w:t>
      </w:r>
      <w:r w:rsidR="00791C59">
        <w:rPr>
          <w:rFonts w:cs="Times New Roman"/>
        </w:rPr>
        <w:t xml:space="preserve">what was done with the </w:t>
      </w:r>
      <w:r w:rsidR="002B4D9A">
        <w:rPr>
          <w:rFonts w:cs="Times New Roman"/>
        </w:rPr>
        <w:t>regression</w:t>
      </w:r>
      <w:r w:rsidR="00791C59">
        <w:rPr>
          <w:rFonts w:cs="Times New Roman"/>
        </w:rPr>
        <w:t xml:space="preserve"> analysis</w:t>
      </w:r>
      <w:r w:rsidRPr="00CE3E9B">
        <w:rPr>
          <w:rFonts w:cs="Times New Roman"/>
        </w:rPr>
        <w:t>.</w:t>
      </w:r>
      <w:r>
        <w:rPr>
          <w:rFonts w:cs="Times New Roman"/>
        </w:rPr>
        <w:t xml:space="preserve">  The </w:t>
      </w:r>
      <w:r w:rsidRPr="00CE3E9B">
        <w:rPr>
          <w:rFonts w:cs="Times New Roman"/>
        </w:rPr>
        <w:t xml:space="preserve">results are summarized in Table </w:t>
      </w:r>
      <w:r w:rsidR="00791C59">
        <w:rPr>
          <w:rFonts w:cs="Times New Roman"/>
        </w:rPr>
        <w:t>4</w:t>
      </w:r>
      <w:r>
        <w:rPr>
          <w:rFonts w:cs="Times New Roman"/>
        </w:rPr>
        <w:t xml:space="preserve"> for six flow censoring scenarios which were </w:t>
      </w:r>
      <w:r w:rsidRPr="005E23AD">
        <w:rPr>
          <w:rFonts w:cs="Times New Roman"/>
        </w:rPr>
        <w:t xml:space="preserve">created to analyze the difference between </w:t>
      </w:r>
      <w:r>
        <w:rPr>
          <w:rFonts w:cs="Times New Roman"/>
        </w:rPr>
        <w:t xml:space="preserve">TSS and </w:t>
      </w:r>
      <w:r w:rsidRPr="005E23AD">
        <w:rPr>
          <w:rFonts w:cs="Times New Roman"/>
        </w:rPr>
        <w:t xml:space="preserve">phosphorus concentrations </w:t>
      </w:r>
      <w:r>
        <w:rPr>
          <w:rFonts w:cs="Times New Roman"/>
        </w:rPr>
        <w:t xml:space="preserve">during Period 3 (2004-2007) and </w:t>
      </w:r>
      <w:r w:rsidRPr="005E23AD">
        <w:rPr>
          <w:rFonts w:cs="Times New Roman"/>
        </w:rPr>
        <w:t xml:space="preserve">Period </w:t>
      </w:r>
      <w:r>
        <w:rPr>
          <w:rFonts w:cs="Times New Roman"/>
        </w:rPr>
        <w:t xml:space="preserve">4 (July 2010 to 2013) </w:t>
      </w:r>
      <w:r w:rsidRPr="005E23AD">
        <w:rPr>
          <w:rFonts w:cs="Times New Roman"/>
        </w:rPr>
        <w:t xml:space="preserve">under </w:t>
      </w:r>
      <w:r>
        <w:rPr>
          <w:rFonts w:cs="Times New Roman"/>
        </w:rPr>
        <w:t xml:space="preserve">different </w:t>
      </w:r>
      <w:r w:rsidRPr="005E23AD">
        <w:rPr>
          <w:rFonts w:cs="Times New Roman"/>
        </w:rPr>
        <w:t>flow regimes.</w:t>
      </w:r>
      <w:r>
        <w:rPr>
          <w:rFonts w:cs="Times New Roman"/>
        </w:rPr>
        <w:t xml:space="preserve">  T</w:t>
      </w:r>
      <w:r w:rsidRPr="003E750C">
        <w:rPr>
          <w:rFonts w:cs="Times New Roman"/>
        </w:rPr>
        <w:t xml:space="preserve">he concentrations of </w:t>
      </w:r>
      <w:r>
        <w:rPr>
          <w:rFonts w:cs="Times New Roman"/>
        </w:rPr>
        <w:t>TSS</w:t>
      </w:r>
      <w:r w:rsidRPr="003E750C">
        <w:rPr>
          <w:rFonts w:cs="Times New Roman"/>
        </w:rPr>
        <w:t xml:space="preserve"> </w:t>
      </w:r>
      <w:r w:rsidR="00943BED">
        <w:rPr>
          <w:rFonts w:cs="Times New Roman"/>
        </w:rPr>
        <w:t xml:space="preserve">and TP </w:t>
      </w:r>
      <w:r w:rsidRPr="003E750C">
        <w:rPr>
          <w:rFonts w:cs="Times New Roman"/>
        </w:rPr>
        <w:t xml:space="preserve">were significantly </w:t>
      </w:r>
      <w:r>
        <w:rPr>
          <w:rFonts w:cs="Times New Roman"/>
        </w:rPr>
        <w:t>lower</w:t>
      </w:r>
      <w:r w:rsidRPr="003E750C">
        <w:rPr>
          <w:rFonts w:cs="Times New Roman"/>
        </w:rPr>
        <w:t xml:space="preserve"> in Period </w:t>
      </w:r>
      <w:r>
        <w:rPr>
          <w:rFonts w:cs="Times New Roman"/>
        </w:rPr>
        <w:t>4</w:t>
      </w:r>
      <w:r w:rsidRPr="003E750C">
        <w:rPr>
          <w:rFonts w:cs="Times New Roman"/>
        </w:rPr>
        <w:t xml:space="preserve"> compared to Period </w:t>
      </w:r>
      <w:r>
        <w:rPr>
          <w:rFonts w:cs="Times New Roman"/>
        </w:rPr>
        <w:t>3</w:t>
      </w:r>
      <w:r w:rsidRPr="003E750C">
        <w:rPr>
          <w:rFonts w:cs="Times New Roman"/>
        </w:rPr>
        <w:t xml:space="preserve"> (p &lt; 0.05)</w:t>
      </w:r>
      <w:r>
        <w:rPr>
          <w:rFonts w:cs="Times New Roman"/>
        </w:rPr>
        <w:t xml:space="preserve"> under all flow scenarios, except when </w:t>
      </w:r>
      <w:r w:rsidRPr="006779C5">
        <w:rPr>
          <w:rFonts w:cs="Times New Roman"/>
        </w:rPr>
        <w:t xml:space="preserve">samples collected under flows of less than 75 cfs were </w:t>
      </w:r>
      <w:r>
        <w:rPr>
          <w:rFonts w:cs="Times New Roman"/>
        </w:rPr>
        <w:t xml:space="preserve">the only ones </w:t>
      </w:r>
      <w:r w:rsidRPr="006779C5">
        <w:rPr>
          <w:rFonts w:cs="Times New Roman"/>
        </w:rPr>
        <w:t>included in the analysis.</w:t>
      </w:r>
      <w:r>
        <w:rPr>
          <w:rFonts w:cs="Times New Roman"/>
        </w:rPr>
        <w:t xml:space="preserve">  </w:t>
      </w:r>
      <w:r w:rsidR="00AF3870">
        <w:rPr>
          <w:rFonts w:cs="Times New Roman"/>
        </w:rPr>
        <w:t xml:space="preserve">Although the concentrations of TSS and TP were significantly lower in Period 4 under all but the lowest flow scenario, </w:t>
      </w:r>
      <w:r w:rsidR="00943BED">
        <w:rPr>
          <w:rFonts w:cs="Times New Roman"/>
        </w:rPr>
        <w:t xml:space="preserve">the results are not </w:t>
      </w:r>
      <w:r w:rsidR="0036431A">
        <w:rPr>
          <w:rFonts w:cs="Times New Roman"/>
        </w:rPr>
        <w:t>absolutely</w:t>
      </w:r>
      <w:r w:rsidR="001D6B25">
        <w:rPr>
          <w:rFonts w:cs="Times New Roman"/>
        </w:rPr>
        <w:t xml:space="preserve"> </w:t>
      </w:r>
      <w:r w:rsidR="00943BED">
        <w:rPr>
          <w:rFonts w:cs="Times New Roman"/>
        </w:rPr>
        <w:t xml:space="preserve">conclusive, as flow conditions </w:t>
      </w:r>
      <w:r w:rsidR="00AF3870">
        <w:rPr>
          <w:rFonts w:cs="Times New Roman"/>
        </w:rPr>
        <w:t>d</w:t>
      </w:r>
      <w:r w:rsidR="00791C59">
        <w:rPr>
          <w:rFonts w:cs="Times New Roman"/>
        </w:rPr>
        <w:t xml:space="preserve">id </w:t>
      </w:r>
      <w:r w:rsidR="00943BED">
        <w:rPr>
          <w:rFonts w:cs="Times New Roman"/>
        </w:rPr>
        <w:t xml:space="preserve">appear to affect whether there </w:t>
      </w:r>
      <w:r w:rsidR="00791C59">
        <w:rPr>
          <w:rFonts w:cs="Times New Roman"/>
        </w:rPr>
        <w:t>was</w:t>
      </w:r>
      <w:r w:rsidR="00943BED">
        <w:rPr>
          <w:rFonts w:cs="Times New Roman"/>
        </w:rPr>
        <w:t xml:space="preserve"> a significant difference between Periods 3 and 4 with regards to TSS and TP concentrations</w:t>
      </w:r>
      <w:r w:rsidR="0036431A">
        <w:rPr>
          <w:rFonts w:cs="Times New Roman"/>
        </w:rPr>
        <w:t xml:space="preserve"> when flows were less than 75 cfs</w:t>
      </w:r>
      <w:r w:rsidR="00943BED">
        <w:rPr>
          <w:rFonts w:cs="Times New Roman"/>
        </w:rPr>
        <w:t>.</w:t>
      </w:r>
    </w:p>
    <w:p w:rsidR="00B62DAB" w:rsidRPr="0036431A" w:rsidRDefault="007A3ECA" w:rsidP="007A3ECA">
      <w:pPr>
        <w:spacing w:after="120"/>
        <w:ind w:firstLine="720"/>
        <w:rPr>
          <w:rFonts w:cs="Times New Roman"/>
        </w:rPr>
      </w:pPr>
      <w:r>
        <w:rPr>
          <w:rFonts w:cs="Times New Roman"/>
        </w:rPr>
        <w:t>T</w:t>
      </w:r>
      <w:r w:rsidRPr="006A4EE6">
        <w:rPr>
          <w:rFonts w:cs="Times New Roman"/>
        </w:rPr>
        <w:t xml:space="preserve">he concentration of </w:t>
      </w:r>
      <w:r w:rsidR="00943BED">
        <w:rPr>
          <w:rFonts w:cs="Times New Roman"/>
        </w:rPr>
        <w:t>D</w:t>
      </w:r>
      <w:r>
        <w:rPr>
          <w:rFonts w:cs="Times New Roman"/>
        </w:rPr>
        <w:t>P</w:t>
      </w:r>
      <w:r w:rsidRPr="006A4EE6">
        <w:rPr>
          <w:rFonts w:cs="Times New Roman"/>
        </w:rPr>
        <w:t xml:space="preserve"> </w:t>
      </w:r>
      <w:r w:rsidRPr="0036431A">
        <w:rPr>
          <w:rFonts w:cs="Times New Roman"/>
        </w:rPr>
        <w:t>w</w:t>
      </w:r>
      <w:r w:rsidR="00943BED" w:rsidRPr="0036431A">
        <w:rPr>
          <w:rFonts w:cs="Times New Roman"/>
        </w:rPr>
        <w:t>as</w:t>
      </w:r>
      <w:r w:rsidRPr="0036431A">
        <w:rPr>
          <w:rFonts w:cs="Times New Roman"/>
        </w:rPr>
        <w:t xml:space="preserve"> significantly lower in Period 4 compared to Period 3 (p &lt; 0.05) under </w:t>
      </w:r>
      <w:r w:rsidR="001313F2" w:rsidRPr="0036431A">
        <w:rPr>
          <w:rFonts w:cs="Times New Roman"/>
        </w:rPr>
        <w:t xml:space="preserve">four </w:t>
      </w:r>
      <w:r w:rsidR="00943BED" w:rsidRPr="0036431A">
        <w:rPr>
          <w:rFonts w:cs="Times New Roman"/>
        </w:rPr>
        <w:t>of the six</w:t>
      </w:r>
      <w:r w:rsidRPr="0036431A">
        <w:rPr>
          <w:rFonts w:cs="Times New Roman"/>
        </w:rPr>
        <w:t xml:space="preserve"> flow scenarios (all flows, </w:t>
      </w:r>
      <w:r w:rsidR="001313F2" w:rsidRPr="0036431A">
        <w:rPr>
          <w:rFonts w:cs="Times New Roman"/>
        </w:rPr>
        <w:t xml:space="preserve">&lt; 1000 cfs, &lt; 750 cfs, </w:t>
      </w:r>
      <w:r w:rsidRPr="0036431A">
        <w:rPr>
          <w:rFonts w:cs="Times New Roman"/>
        </w:rPr>
        <w:t xml:space="preserve">&lt; </w:t>
      </w:r>
      <w:r w:rsidR="00943BED" w:rsidRPr="0036431A">
        <w:rPr>
          <w:rFonts w:cs="Times New Roman"/>
        </w:rPr>
        <w:t>250</w:t>
      </w:r>
      <w:r w:rsidRPr="0036431A">
        <w:rPr>
          <w:rFonts w:cs="Times New Roman"/>
        </w:rPr>
        <w:t xml:space="preserve"> cfs)</w:t>
      </w:r>
      <w:r w:rsidR="00943BED" w:rsidRPr="0036431A">
        <w:rPr>
          <w:rFonts w:cs="Times New Roman"/>
        </w:rPr>
        <w:t xml:space="preserve">, </w:t>
      </w:r>
      <w:r w:rsidR="001313F2" w:rsidRPr="0036431A">
        <w:rPr>
          <w:rFonts w:cs="Times New Roman"/>
        </w:rPr>
        <w:t xml:space="preserve">and </w:t>
      </w:r>
      <w:r w:rsidR="00943BED" w:rsidRPr="0036431A">
        <w:rPr>
          <w:rFonts w:cs="Times New Roman"/>
        </w:rPr>
        <w:t xml:space="preserve">were close to significant under </w:t>
      </w:r>
      <w:r w:rsidR="001313F2" w:rsidRPr="0036431A">
        <w:rPr>
          <w:rFonts w:cs="Times New Roman"/>
        </w:rPr>
        <w:t xml:space="preserve">the &lt; 500 cfs </w:t>
      </w:r>
      <w:r w:rsidR="00943BED" w:rsidRPr="0036431A">
        <w:rPr>
          <w:rFonts w:cs="Times New Roman"/>
        </w:rPr>
        <w:t>flow scenario (p = 0.064)</w:t>
      </w:r>
      <w:r w:rsidRPr="0036431A">
        <w:rPr>
          <w:rFonts w:cs="Times New Roman"/>
        </w:rPr>
        <w:t xml:space="preserve">.  Overall, the results are not </w:t>
      </w:r>
      <w:r w:rsidR="00795236" w:rsidRPr="0036431A">
        <w:rPr>
          <w:rFonts w:cs="Times New Roman"/>
        </w:rPr>
        <w:t>completely</w:t>
      </w:r>
      <w:r w:rsidRPr="0036431A">
        <w:rPr>
          <w:rFonts w:cs="Times New Roman"/>
        </w:rPr>
        <w:t xml:space="preserve"> conclusive, as flow conditions appear to affect whether there is a significant difference between Periods 3 and 4 with regards to </w:t>
      </w:r>
      <w:r w:rsidR="00AF3870" w:rsidRPr="0036431A">
        <w:rPr>
          <w:rFonts w:cs="Times New Roman"/>
        </w:rPr>
        <w:t>DP</w:t>
      </w:r>
      <w:r w:rsidRPr="0036431A">
        <w:rPr>
          <w:rFonts w:cs="Times New Roman"/>
        </w:rPr>
        <w:t xml:space="preserve"> concentrations.</w:t>
      </w:r>
      <w:r w:rsidR="00B62DAB" w:rsidRPr="0036431A">
        <w:rPr>
          <w:rFonts w:cs="Times New Roman"/>
        </w:rPr>
        <w:t xml:space="preserve">  </w:t>
      </w:r>
    </w:p>
    <w:p w:rsidR="007A3ECA" w:rsidRDefault="00943BED" w:rsidP="007A3ECA">
      <w:pPr>
        <w:spacing w:after="120"/>
        <w:ind w:firstLine="720"/>
        <w:rPr>
          <w:rFonts w:cs="Times New Roman"/>
        </w:rPr>
      </w:pPr>
      <w:r w:rsidRPr="0036431A">
        <w:rPr>
          <w:rFonts w:cs="Times New Roman"/>
        </w:rPr>
        <w:t>T</w:t>
      </w:r>
      <w:r w:rsidR="007A3ECA" w:rsidRPr="0036431A">
        <w:rPr>
          <w:rFonts w:cs="Times New Roman"/>
        </w:rPr>
        <w:t>he DP/TP ratio w</w:t>
      </w:r>
      <w:r w:rsidRPr="0036431A">
        <w:rPr>
          <w:rFonts w:cs="Times New Roman"/>
        </w:rPr>
        <w:t>as</w:t>
      </w:r>
      <w:r w:rsidR="007A3ECA" w:rsidRPr="0036431A">
        <w:rPr>
          <w:rFonts w:cs="Times New Roman"/>
        </w:rPr>
        <w:t xml:space="preserve"> not significantly different between the two periods</w:t>
      </w:r>
      <w:r w:rsidR="007A3ECA">
        <w:rPr>
          <w:rFonts w:cs="Times New Roman"/>
        </w:rPr>
        <w:t xml:space="preserve"> (p &gt; 0.05).</w:t>
      </w:r>
    </w:p>
    <w:p w:rsidR="00224332" w:rsidRDefault="00224332" w:rsidP="00685F33">
      <w:pPr>
        <w:spacing w:after="120"/>
        <w:ind w:firstLine="720"/>
        <w:rPr>
          <w:rFonts w:cs="Times New Roman"/>
        </w:rPr>
      </w:pPr>
    </w:p>
    <w:p w:rsidR="003E5E17" w:rsidRDefault="003E5E17">
      <w:pPr>
        <w:spacing w:after="200" w:line="276" w:lineRule="auto"/>
        <w:rPr>
          <w:bCs/>
          <w:szCs w:val="18"/>
        </w:rPr>
      </w:pPr>
      <w:r>
        <w:br w:type="page"/>
      </w:r>
    </w:p>
    <w:p w:rsidR="00685F33" w:rsidRDefault="00685F33" w:rsidP="00685F33">
      <w:pPr>
        <w:pStyle w:val="Caption"/>
      </w:pPr>
      <w:r w:rsidRPr="00B947C9">
        <w:lastRenderedPageBreak/>
        <w:t xml:space="preserve">Table </w:t>
      </w:r>
      <w:r w:rsidR="008A4BEC">
        <w:t>4</w:t>
      </w:r>
      <w:r w:rsidRPr="00B947C9">
        <w:t>.  Non-parametric Wilcoxon Rank sum test (t-approximation) for several constituents under different flow censoring scenarios: Pe</w:t>
      </w:r>
      <w:r w:rsidRPr="00023E45">
        <w:t xml:space="preserve">riod </w:t>
      </w:r>
      <w:r w:rsidR="001412A7">
        <w:t>3</w:t>
      </w:r>
      <w:r w:rsidRPr="00023E45">
        <w:t xml:space="preserve"> vs Period </w:t>
      </w:r>
      <w:r w:rsidR="001412A7">
        <w:t>4</w:t>
      </w:r>
      <w:r w:rsidRPr="00023E45">
        <w:t xml:space="preserve">.  Flow scenarios </w:t>
      </w:r>
      <w:r w:rsidR="00135208">
        <w:t>(</w:t>
      </w:r>
      <w:r w:rsidRPr="00023E45">
        <w:t>in cfs) were created to account for differ</w:t>
      </w:r>
      <w:r w:rsidR="008D7FBF">
        <w:t xml:space="preserve">ent </w:t>
      </w:r>
      <w:r w:rsidRPr="00023E45">
        <w:t>sampling protocols over the</w:t>
      </w:r>
      <w:r w:rsidR="008D7FBF">
        <w:t>se two sampling periods</w:t>
      </w:r>
      <w:r w:rsidRPr="00023E45">
        <w:t>.  P3 indicates Period 3 (USGS water years 2004 to 200</w:t>
      </w:r>
      <w:r w:rsidR="00A3612F">
        <w:t>7</w:t>
      </w:r>
      <w:r w:rsidRPr="00023E45">
        <w:t>)</w:t>
      </w:r>
      <w:r w:rsidR="003668E9">
        <w:t xml:space="preserve">, </w:t>
      </w:r>
      <w:r w:rsidR="003668E9" w:rsidRPr="00023E45">
        <w:t>P</w:t>
      </w:r>
      <w:r w:rsidR="003668E9">
        <w:t>4</w:t>
      </w:r>
      <w:r w:rsidR="003668E9" w:rsidRPr="00023E45">
        <w:t xml:space="preserve"> indicates Period </w:t>
      </w:r>
      <w:r w:rsidR="003668E9">
        <w:t>4</w:t>
      </w:r>
      <w:r w:rsidR="003668E9" w:rsidRPr="00023E45">
        <w:t xml:space="preserve"> (USGS water years </w:t>
      </w:r>
      <w:r w:rsidR="000922E7">
        <w:t xml:space="preserve">2010 to </w:t>
      </w:r>
      <w:r w:rsidR="003668E9" w:rsidRPr="00023E45">
        <w:t>20</w:t>
      </w:r>
      <w:r w:rsidR="003668E9">
        <w:t>1</w:t>
      </w:r>
      <w:r w:rsidR="009F3EAA">
        <w:t>3</w:t>
      </w:r>
      <w:r w:rsidR="003668E9" w:rsidRPr="00023E45">
        <w:t>)</w:t>
      </w:r>
      <w:r w:rsidR="001412A7">
        <w:t xml:space="preserve">.  </w:t>
      </w:r>
      <w:r w:rsidR="000922E7">
        <w:rPr>
          <w:rFonts w:cs="Times New Roman"/>
        </w:rPr>
        <w:t xml:space="preserve">Data from </w:t>
      </w:r>
      <w:r w:rsidR="000922E7">
        <w:t>2008 and 2009 were not included because this period was considered transitional</w:t>
      </w:r>
      <w:r w:rsidR="00A05E25">
        <w:t xml:space="preserve"> for this </w:t>
      </w:r>
      <w:r w:rsidR="00933EBB">
        <w:t xml:space="preserve">comparative </w:t>
      </w:r>
      <w:r w:rsidR="00A05E25">
        <w:t>analysis</w:t>
      </w:r>
      <w:r w:rsidRPr="00023E45">
        <w:t>.  To reflect the different null hypotheses, statistical tests for TP</w:t>
      </w:r>
      <w:r w:rsidR="0087385E">
        <w:t xml:space="preserve">, </w:t>
      </w:r>
      <w:r w:rsidRPr="00023E45">
        <w:t xml:space="preserve">DP </w:t>
      </w:r>
      <w:r w:rsidR="0087385E">
        <w:t xml:space="preserve">and TSS </w:t>
      </w:r>
      <w:r w:rsidRPr="00023E45">
        <w:t>were one-sided, whereas tests for DP/TP and flow were two-sided.</w:t>
      </w:r>
      <w:r w:rsidR="005F1247">
        <w:t xml:space="preserve">  Significant differences are </w:t>
      </w:r>
      <w:r w:rsidR="003E750C" w:rsidRPr="003E750C">
        <w:rPr>
          <w:i/>
        </w:rPr>
        <w:t>italicized</w:t>
      </w:r>
      <w:r w:rsidR="005F1247">
        <w:t>.</w:t>
      </w:r>
    </w:p>
    <w:tbl>
      <w:tblPr>
        <w:tblW w:w="3507" w:type="pct"/>
        <w:jc w:val="center"/>
        <w:tblLook w:val="0000" w:firstRow="0" w:lastRow="0" w:firstColumn="0" w:lastColumn="0" w:noHBand="0" w:noVBand="0"/>
      </w:tblPr>
      <w:tblGrid>
        <w:gridCol w:w="963"/>
        <w:gridCol w:w="983"/>
        <w:gridCol w:w="923"/>
        <w:gridCol w:w="1077"/>
        <w:gridCol w:w="924"/>
        <w:gridCol w:w="944"/>
        <w:gridCol w:w="903"/>
      </w:tblGrid>
      <w:tr w:rsidR="00AD7123" w:rsidRPr="00EF3186" w:rsidTr="00BE570C">
        <w:trPr>
          <w:trHeight w:val="300"/>
          <w:jc w:val="center"/>
        </w:trPr>
        <w:tc>
          <w:tcPr>
            <w:tcW w:w="716" w:type="pct"/>
            <w:vMerge w:val="restart"/>
            <w:tcBorders>
              <w:top w:val="single" w:sz="8" w:space="0" w:color="000000"/>
              <w:left w:val="nil"/>
              <w:bottom w:val="single" w:sz="8" w:space="0" w:color="000000"/>
              <w:right w:val="nil"/>
            </w:tcBorders>
            <w:shd w:val="clear" w:color="auto" w:fill="auto"/>
            <w:vAlign w:val="center"/>
          </w:tcPr>
          <w:p w:rsidR="00411696" w:rsidRDefault="00411696" w:rsidP="002A7B28">
            <w:pPr>
              <w:keepNext/>
              <w:keepLines/>
              <w:spacing w:after="120"/>
              <w:ind w:left="1980"/>
              <w:contextualSpacing/>
              <w:jc w:val="center"/>
              <w:outlineLvl w:val="0"/>
              <w:rPr>
                <w:rFonts w:cs="Times New Roman"/>
                <w:b/>
                <w:bCs/>
                <w:sz w:val="20"/>
                <w:szCs w:val="20"/>
              </w:rPr>
            </w:pPr>
          </w:p>
        </w:tc>
        <w:tc>
          <w:tcPr>
            <w:tcW w:w="732" w:type="pct"/>
            <w:vMerge w:val="restart"/>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jc w:val="center"/>
              <w:rPr>
                <w:rFonts w:cs="Times New Roman"/>
                <w:b/>
                <w:bCs/>
                <w:sz w:val="20"/>
                <w:szCs w:val="20"/>
              </w:rPr>
            </w:pPr>
            <w:r w:rsidRPr="00540C2F">
              <w:rPr>
                <w:rFonts w:cs="Times New Roman"/>
                <w:b/>
                <w:bCs/>
                <w:sz w:val="20"/>
                <w:szCs w:val="20"/>
              </w:rPr>
              <w:t xml:space="preserve">All Flow </w:t>
            </w:r>
          </w:p>
        </w:tc>
        <w:tc>
          <w:tcPr>
            <w:tcW w:w="687" w:type="pct"/>
            <w:vMerge w:val="restart"/>
            <w:tcBorders>
              <w:top w:val="single" w:sz="8" w:space="0" w:color="000000"/>
              <w:left w:val="nil"/>
              <w:bottom w:val="single" w:sz="8" w:space="0" w:color="000000"/>
              <w:right w:val="nil"/>
            </w:tcBorders>
            <w:shd w:val="clear" w:color="auto" w:fill="auto"/>
            <w:vAlign w:val="center"/>
          </w:tcPr>
          <w:p w:rsidR="00411696" w:rsidRDefault="00411696">
            <w:pPr>
              <w:spacing w:after="120"/>
              <w:contextualSpacing/>
              <w:jc w:val="center"/>
              <w:rPr>
                <w:rFonts w:cs="Times New Roman"/>
                <w:b/>
                <w:bCs/>
                <w:sz w:val="20"/>
                <w:szCs w:val="20"/>
              </w:rPr>
            </w:pPr>
            <w:r>
              <w:rPr>
                <w:rFonts w:cs="Times New Roman"/>
                <w:b/>
                <w:bCs/>
                <w:sz w:val="20"/>
                <w:szCs w:val="20"/>
              </w:rPr>
              <w:t>Flow</w:t>
            </w:r>
          </w:p>
          <w:p w:rsidR="00411696" w:rsidRDefault="00411696">
            <w:pPr>
              <w:spacing w:after="120"/>
              <w:contextualSpacing/>
              <w:jc w:val="center"/>
              <w:rPr>
                <w:rFonts w:cs="Times New Roman"/>
                <w:b/>
                <w:bCs/>
                <w:sz w:val="20"/>
                <w:szCs w:val="20"/>
              </w:rPr>
            </w:pPr>
            <w:r w:rsidRPr="00540C2F">
              <w:rPr>
                <w:rFonts w:cs="Times New Roman"/>
                <w:b/>
                <w:bCs/>
                <w:sz w:val="20"/>
                <w:szCs w:val="20"/>
              </w:rPr>
              <w:t xml:space="preserve"> </w:t>
            </w:r>
            <w:r>
              <w:rPr>
                <w:rFonts w:cs="Times New Roman"/>
                <w:b/>
                <w:bCs/>
                <w:sz w:val="20"/>
                <w:szCs w:val="20"/>
              </w:rPr>
              <w:t>&lt; 1000</w:t>
            </w:r>
          </w:p>
        </w:tc>
        <w:tc>
          <w:tcPr>
            <w:tcW w:w="802" w:type="pct"/>
            <w:vMerge w:val="restart"/>
            <w:tcBorders>
              <w:top w:val="single" w:sz="8" w:space="0" w:color="000000"/>
              <w:left w:val="nil"/>
              <w:bottom w:val="single" w:sz="8" w:space="0" w:color="000000"/>
              <w:right w:val="nil"/>
            </w:tcBorders>
            <w:shd w:val="clear" w:color="auto" w:fill="auto"/>
            <w:vAlign w:val="center"/>
          </w:tcPr>
          <w:p w:rsidR="00411696" w:rsidRDefault="00411696" w:rsidP="002A7B28">
            <w:pPr>
              <w:spacing w:after="120"/>
              <w:contextualSpacing/>
              <w:jc w:val="center"/>
              <w:rPr>
                <w:rFonts w:cs="Times New Roman"/>
                <w:b/>
                <w:bCs/>
                <w:sz w:val="20"/>
                <w:szCs w:val="20"/>
              </w:rPr>
            </w:pPr>
            <w:r w:rsidRPr="00540C2F">
              <w:rPr>
                <w:rFonts w:cs="Times New Roman"/>
                <w:b/>
                <w:bCs/>
                <w:sz w:val="20"/>
                <w:szCs w:val="20"/>
              </w:rPr>
              <w:t>Flow</w:t>
            </w:r>
          </w:p>
          <w:p w:rsidR="00411696" w:rsidRDefault="00411696">
            <w:pPr>
              <w:spacing w:after="120"/>
              <w:contextualSpacing/>
              <w:jc w:val="center"/>
              <w:rPr>
                <w:rFonts w:cs="Times New Roman"/>
                <w:b/>
                <w:bCs/>
                <w:sz w:val="20"/>
                <w:szCs w:val="20"/>
              </w:rPr>
            </w:pPr>
            <w:r w:rsidRPr="00540C2F">
              <w:rPr>
                <w:rFonts w:cs="Times New Roman"/>
                <w:b/>
                <w:bCs/>
                <w:sz w:val="20"/>
                <w:szCs w:val="20"/>
              </w:rPr>
              <w:t xml:space="preserve"> &lt; </w:t>
            </w:r>
            <w:r>
              <w:rPr>
                <w:rFonts w:cs="Times New Roman"/>
                <w:b/>
                <w:bCs/>
                <w:sz w:val="20"/>
                <w:szCs w:val="20"/>
              </w:rPr>
              <w:t>750</w:t>
            </w:r>
          </w:p>
        </w:tc>
        <w:tc>
          <w:tcPr>
            <w:tcW w:w="688" w:type="pct"/>
            <w:vMerge w:val="restart"/>
            <w:tcBorders>
              <w:top w:val="single" w:sz="8" w:space="0" w:color="000000"/>
              <w:left w:val="nil"/>
              <w:bottom w:val="single" w:sz="8" w:space="0" w:color="000000"/>
              <w:right w:val="nil"/>
            </w:tcBorders>
            <w:shd w:val="clear" w:color="auto" w:fill="auto"/>
            <w:vAlign w:val="center"/>
          </w:tcPr>
          <w:p w:rsidR="00411696" w:rsidRDefault="00411696" w:rsidP="002A7B28">
            <w:pPr>
              <w:spacing w:after="120"/>
              <w:contextualSpacing/>
              <w:jc w:val="center"/>
              <w:rPr>
                <w:rFonts w:cs="Times New Roman"/>
                <w:b/>
                <w:bCs/>
                <w:sz w:val="20"/>
                <w:szCs w:val="20"/>
              </w:rPr>
            </w:pPr>
            <w:r w:rsidRPr="00540C2F">
              <w:rPr>
                <w:rFonts w:cs="Times New Roman"/>
                <w:b/>
                <w:bCs/>
                <w:sz w:val="20"/>
                <w:szCs w:val="20"/>
              </w:rPr>
              <w:t>Flow</w:t>
            </w:r>
          </w:p>
          <w:p w:rsidR="00411696" w:rsidRDefault="00411696">
            <w:pPr>
              <w:spacing w:after="120"/>
              <w:contextualSpacing/>
              <w:jc w:val="center"/>
              <w:rPr>
                <w:rFonts w:cs="Times New Roman"/>
                <w:b/>
                <w:bCs/>
                <w:sz w:val="20"/>
                <w:szCs w:val="20"/>
              </w:rPr>
            </w:pPr>
            <w:r w:rsidRPr="00540C2F">
              <w:rPr>
                <w:rFonts w:cs="Times New Roman"/>
                <w:b/>
                <w:bCs/>
                <w:sz w:val="20"/>
                <w:szCs w:val="20"/>
              </w:rPr>
              <w:t xml:space="preserve"> &lt; </w:t>
            </w:r>
            <w:r>
              <w:rPr>
                <w:rFonts w:cs="Times New Roman"/>
                <w:b/>
                <w:bCs/>
                <w:sz w:val="20"/>
                <w:szCs w:val="20"/>
              </w:rPr>
              <w:t>500</w:t>
            </w:r>
          </w:p>
        </w:tc>
        <w:tc>
          <w:tcPr>
            <w:tcW w:w="703" w:type="pct"/>
            <w:vMerge w:val="restart"/>
            <w:tcBorders>
              <w:top w:val="single" w:sz="8" w:space="0" w:color="000000"/>
              <w:left w:val="nil"/>
              <w:bottom w:val="single" w:sz="8" w:space="0" w:color="000000"/>
              <w:right w:val="nil"/>
            </w:tcBorders>
            <w:shd w:val="clear" w:color="auto" w:fill="auto"/>
            <w:vAlign w:val="center"/>
          </w:tcPr>
          <w:p w:rsidR="00411696" w:rsidRDefault="00411696" w:rsidP="002A7B28">
            <w:pPr>
              <w:spacing w:after="120"/>
              <w:contextualSpacing/>
              <w:jc w:val="center"/>
              <w:rPr>
                <w:rFonts w:cs="Times New Roman"/>
                <w:b/>
                <w:bCs/>
                <w:sz w:val="20"/>
                <w:szCs w:val="20"/>
              </w:rPr>
            </w:pPr>
            <w:r w:rsidRPr="00540C2F">
              <w:rPr>
                <w:rFonts w:cs="Times New Roman"/>
                <w:b/>
                <w:bCs/>
                <w:sz w:val="20"/>
                <w:szCs w:val="20"/>
              </w:rPr>
              <w:t>Flow</w:t>
            </w:r>
          </w:p>
          <w:p w:rsidR="00411696" w:rsidRDefault="00411696">
            <w:pPr>
              <w:spacing w:after="120"/>
              <w:contextualSpacing/>
              <w:jc w:val="center"/>
              <w:rPr>
                <w:rFonts w:cs="Times New Roman"/>
                <w:b/>
                <w:bCs/>
                <w:sz w:val="20"/>
                <w:szCs w:val="20"/>
              </w:rPr>
            </w:pPr>
            <w:r w:rsidRPr="00540C2F">
              <w:rPr>
                <w:rFonts w:cs="Times New Roman"/>
                <w:b/>
                <w:bCs/>
                <w:sz w:val="20"/>
                <w:szCs w:val="20"/>
              </w:rPr>
              <w:t xml:space="preserve"> &lt; </w:t>
            </w:r>
            <w:r>
              <w:rPr>
                <w:rFonts w:cs="Times New Roman"/>
                <w:b/>
                <w:bCs/>
                <w:sz w:val="20"/>
                <w:szCs w:val="20"/>
              </w:rPr>
              <w:t>2</w:t>
            </w:r>
            <w:r w:rsidRPr="00540C2F">
              <w:rPr>
                <w:rFonts w:cs="Times New Roman"/>
                <w:b/>
                <w:bCs/>
                <w:sz w:val="20"/>
                <w:szCs w:val="20"/>
              </w:rPr>
              <w:t>50</w:t>
            </w:r>
          </w:p>
        </w:tc>
        <w:tc>
          <w:tcPr>
            <w:tcW w:w="671" w:type="pct"/>
            <w:vMerge w:val="restart"/>
            <w:tcBorders>
              <w:top w:val="single" w:sz="8" w:space="0" w:color="000000"/>
              <w:left w:val="nil"/>
              <w:bottom w:val="single" w:sz="8" w:space="0" w:color="000000"/>
              <w:right w:val="nil"/>
            </w:tcBorders>
            <w:shd w:val="clear" w:color="auto" w:fill="auto"/>
            <w:vAlign w:val="center"/>
          </w:tcPr>
          <w:p w:rsidR="00411696" w:rsidRDefault="00411696" w:rsidP="002A7B28">
            <w:pPr>
              <w:spacing w:after="120"/>
              <w:contextualSpacing/>
              <w:jc w:val="center"/>
              <w:rPr>
                <w:rFonts w:cs="Times New Roman"/>
                <w:b/>
                <w:bCs/>
                <w:sz w:val="20"/>
                <w:szCs w:val="20"/>
              </w:rPr>
            </w:pPr>
            <w:r w:rsidRPr="00540C2F">
              <w:rPr>
                <w:rFonts w:cs="Times New Roman"/>
                <w:b/>
                <w:bCs/>
                <w:sz w:val="20"/>
                <w:szCs w:val="20"/>
              </w:rPr>
              <w:t xml:space="preserve">Flow </w:t>
            </w:r>
          </w:p>
          <w:p w:rsidR="00411696" w:rsidRDefault="00411696">
            <w:pPr>
              <w:spacing w:after="120"/>
              <w:contextualSpacing/>
              <w:jc w:val="center"/>
              <w:rPr>
                <w:rFonts w:cs="Times New Roman"/>
                <w:b/>
                <w:bCs/>
                <w:sz w:val="20"/>
                <w:szCs w:val="20"/>
              </w:rPr>
            </w:pPr>
            <w:r w:rsidRPr="00540C2F">
              <w:rPr>
                <w:rFonts w:cs="Times New Roman"/>
                <w:b/>
                <w:bCs/>
                <w:sz w:val="20"/>
                <w:szCs w:val="20"/>
              </w:rPr>
              <w:t xml:space="preserve">&lt; </w:t>
            </w:r>
            <w:r>
              <w:rPr>
                <w:rFonts w:cs="Times New Roman"/>
                <w:b/>
                <w:bCs/>
                <w:sz w:val="20"/>
                <w:szCs w:val="20"/>
              </w:rPr>
              <w:t>75</w:t>
            </w:r>
          </w:p>
        </w:tc>
      </w:tr>
      <w:tr w:rsidR="00AD7123" w:rsidRPr="00EF3186" w:rsidTr="00BE570C">
        <w:trPr>
          <w:trHeight w:val="300"/>
          <w:jc w:val="center"/>
        </w:trPr>
        <w:tc>
          <w:tcPr>
            <w:tcW w:w="716"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732"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87"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802"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88"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703"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71"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r>
      <w:tr w:rsidR="00AD7123" w:rsidRPr="00EF3186" w:rsidTr="00BE570C">
        <w:trPr>
          <w:trHeight w:val="230"/>
          <w:jc w:val="center"/>
        </w:trPr>
        <w:tc>
          <w:tcPr>
            <w:tcW w:w="716"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732"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87"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802"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88"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703"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c>
          <w:tcPr>
            <w:tcW w:w="671" w:type="pct"/>
            <w:vMerge/>
            <w:tcBorders>
              <w:top w:val="single" w:sz="8" w:space="0" w:color="000000"/>
              <w:left w:val="nil"/>
              <w:bottom w:val="single" w:sz="8" w:space="0" w:color="000000"/>
              <w:right w:val="nil"/>
            </w:tcBorders>
            <w:shd w:val="clear" w:color="auto" w:fill="auto"/>
            <w:vAlign w:val="center"/>
          </w:tcPr>
          <w:p w:rsidR="00411696" w:rsidRPr="00EF3186" w:rsidRDefault="00411696" w:rsidP="002A7B28">
            <w:pPr>
              <w:spacing w:after="120"/>
              <w:contextualSpacing/>
              <w:rPr>
                <w:rFonts w:cs="Times New Roman"/>
                <w:b/>
                <w:bCs/>
                <w:sz w:val="20"/>
                <w:szCs w:val="20"/>
              </w:rPr>
            </w:pPr>
          </w:p>
        </w:tc>
      </w:tr>
      <w:tr w:rsidR="00AD7123" w:rsidRPr="00EF3186" w:rsidTr="00BE570C">
        <w:trPr>
          <w:trHeight w:val="300"/>
          <w:jc w:val="center"/>
        </w:trPr>
        <w:tc>
          <w:tcPr>
            <w:tcW w:w="716" w:type="pct"/>
            <w:vMerge w:val="restart"/>
            <w:tcBorders>
              <w:top w:val="dotted" w:sz="4" w:space="0" w:color="000000"/>
              <w:left w:val="nil"/>
              <w:right w:val="nil"/>
            </w:tcBorders>
            <w:shd w:val="clear" w:color="auto" w:fill="auto"/>
            <w:vAlign w:val="center"/>
          </w:tcPr>
          <w:p w:rsidR="00BE570C" w:rsidRPr="006727C0" w:rsidRDefault="00BE570C" w:rsidP="002A7B28">
            <w:pPr>
              <w:spacing w:after="120"/>
              <w:contextualSpacing/>
              <w:jc w:val="center"/>
              <w:rPr>
                <w:rFonts w:cs="Times New Roman"/>
                <w:b/>
                <w:bCs/>
                <w:sz w:val="20"/>
                <w:szCs w:val="20"/>
              </w:rPr>
            </w:pPr>
            <w:r>
              <w:rPr>
                <w:rFonts w:cs="Times New Roman"/>
                <w:b/>
                <w:bCs/>
                <w:sz w:val="20"/>
                <w:szCs w:val="20"/>
              </w:rPr>
              <w:t>TSS</w:t>
            </w:r>
          </w:p>
        </w:tc>
        <w:tc>
          <w:tcPr>
            <w:tcW w:w="732"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87"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802"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88"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703"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71" w:type="pct"/>
            <w:tcBorders>
              <w:top w:val="dotted" w:sz="4" w:space="0" w:color="000000"/>
              <w:left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r>
      <w:tr w:rsidR="00AD7123" w:rsidRPr="00EF3186" w:rsidTr="00BE570C">
        <w:trPr>
          <w:trHeight w:val="300"/>
          <w:jc w:val="center"/>
        </w:trPr>
        <w:tc>
          <w:tcPr>
            <w:tcW w:w="716" w:type="pct"/>
            <w:vMerge/>
            <w:tcBorders>
              <w:left w:val="nil"/>
              <w:right w:val="nil"/>
            </w:tcBorders>
            <w:shd w:val="clear" w:color="auto" w:fill="auto"/>
            <w:vAlign w:val="center"/>
          </w:tcPr>
          <w:p w:rsidR="00BE570C" w:rsidRPr="006727C0" w:rsidRDefault="00BE570C" w:rsidP="002A7B28">
            <w:pPr>
              <w:spacing w:after="120"/>
              <w:contextualSpacing/>
              <w:jc w:val="center"/>
              <w:rPr>
                <w:rFonts w:cs="Times New Roman"/>
                <w:b/>
                <w:bCs/>
                <w:sz w:val="20"/>
                <w:szCs w:val="20"/>
              </w:rPr>
            </w:pPr>
          </w:p>
        </w:tc>
        <w:tc>
          <w:tcPr>
            <w:tcW w:w="732" w:type="pct"/>
            <w:tcBorders>
              <w:left w:val="nil"/>
              <w:bottom w:val="dotted" w:sz="4" w:space="0" w:color="000000"/>
              <w:right w:val="nil"/>
            </w:tcBorders>
            <w:shd w:val="clear" w:color="auto" w:fill="auto"/>
            <w:vAlign w:val="center"/>
          </w:tcPr>
          <w:p w:rsidR="00BE570C" w:rsidRPr="00A760E3" w:rsidRDefault="00A10F40" w:rsidP="00A10F40">
            <w:pPr>
              <w:spacing w:after="120"/>
              <w:contextualSpacing/>
              <w:jc w:val="center"/>
              <w:rPr>
                <w:rFonts w:cs="Times New Roman"/>
                <w:i/>
                <w:sz w:val="18"/>
                <w:szCs w:val="18"/>
              </w:rPr>
            </w:pPr>
            <w:r w:rsidRPr="00A760E3">
              <w:rPr>
                <w:rFonts w:cs="Times New Roman"/>
                <w:i/>
                <w:sz w:val="18"/>
                <w:szCs w:val="18"/>
              </w:rPr>
              <w:t>p</w:t>
            </w:r>
            <w:r w:rsidR="00BE570C" w:rsidRPr="00A760E3">
              <w:rPr>
                <w:rFonts w:cs="Times New Roman"/>
                <w:i/>
                <w:sz w:val="18"/>
                <w:szCs w:val="18"/>
              </w:rPr>
              <w:t>&lt;0.0001</w:t>
            </w:r>
          </w:p>
        </w:tc>
        <w:tc>
          <w:tcPr>
            <w:tcW w:w="687" w:type="pct"/>
            <w:tcBorders>
              <w:left w:val="nil"/>
              <w:bottom w:val="dotted" w:sz="4" w:space="0" w:color="000000"/>
              <w:right w:val="nil"/>
            </w:tcBorders>
            <w:shd w:val="clear" w:color="auto" w:fill="auto"/>
            <w:vAlign w:val="center"/>
          </w:tcPr>
          <w:p w:rsidR="00BE570C" w:rsidRPr="00A760E3" w:rsidRDefault="00A10F40" w:rsidP="00A10F40">
            <w:pPr>
              <w:spacing w:after="120"/>
              <w:contextualSpacing/>
              <w:jc w:val="center"/>
              <w:rPr>
                <w:rFonts w:cs="Times New Roman"/>
                <w:i/>
                <w:sz w:val="18"/>
                <w:szCs w:val="18"/>
              </w:rPr>
            </w:pPr>
            <w:r w:rsidRPr="00A760E3">
              <w:rPr>
                <w:rFonts w:cs="Times New Roman"/>
                <w:i/>
                <w:sz w:val="18"/>
                <w:szCs w:val="18"/>
              </w:rPr>
              <w:t>p</w:t>
            </w:r>
            <w:r w:rsidR="00BE570C" w:rsidRPr="00A760E3">
              <w:rPr>
                <w:rFonts w:cs="Times New Roman"/>
                <w:i/>
                <w:sz w:val="18"/>
                <w:szCs w:val="18"/>
              </w:rPr>
              <w:t>&lt;0.0001</w:t>
            </w:r>
          </w:p>
        </w:tc>
        <w:tc>
          <w:tcPr>
            <w:tcW w:w="802" w:type="pct"/>
            <w:tcBorders>
              <w:left w:val="nil"/>
              <w:bottom w:val="dotted" w:sz="4" w:space="0" w:color="000000"/>
              <w:right w:val="nil"/>
            </w:tcBorders>
            <w:shd w:val="clear" w:color="auto" w:fill="auto"/>
            <w:vAlign w:val="center"/>
          </w:tcPr>
          <w:p w:rsidR="00BE570C" w:rsidRPr="00A760E3" w:rsidRDefault="00731225" w:rsidP="00731225">
            <w:pPr>
              <w:spacing w:after="120"/>
              <w:contextualSpacing/>
              <w:jc w:val="center"/>
              <w:rPr>
                <w:rFonts w:cs="Times New Roman"/>
                <w:i/>
                <w:sz w:val="18"/>
                <w:szCs w:val="18"/>
              </w:rPr>
            </w:pPr>
            <w:r w:rsidRPr="00A760E3">
              <w:rPr>
                <w:rFonts w:cs="Times New Roman"/>
                <w:i/>
                <w:sz w:val="18"/>
                <w:szCs w:val="18"/>
              </w:rPr>
              <w:t>p=</w:t>
            </w:r>
            <w:r w:rsidR="00BE570C" w:rsidRPr="00A760E3">
              <w:rPr>
                <w:rFonts w:cs="Times New Roman"/>
                <w:i/>
                <w:sz w:val="18"/>
                <w:szCs w:val="18"/>
              </w:rPr>
              <w:t>0.0001</w:t>
            </w:r>
          </w:p>
        </w:tc>
        <w:tc>
          <w:tcPr>
            <w:tcW w:w="688" w:type="pct"/>
            <w:tcBorders>
              <w:left w:val="nil"/>
              <w:bottom w:val="dotted" w:sz="4" w:space="0" w:color="000000"/>
              <w:right w:val="nil"/>
            </w:tcBorders>
            <w:shd w:val="clear" w:color="auto" w:fill="auto"/>
            <w:vAlign w:val="center"/>
          </w:tcPr>
          <w:p w:rsidR="00BE570C" w:rsidRPr="00A760E3" w:rsidRDefault="00BE570C" w:rsidP="00731225">
            <w:pPr>
              <w:spacing w:after="120"/>
              <w:contextualSpacing/>
              <w:jc w:val="center"/>
              <w:rPr>
                <w:rFonts w:cs="Times New Roman"/>
                <w:i/>
                <w:sz w:val="18"/>
                <w:szCs w:val="18"/>
              </w:rPr>
            </w:pPr>
            <w:r w:rsidRPr="00A760E3">
              <w:rPr>
                <w:rFonts w:cs="Times New Roman"/>
                <w:i/>
                <w:sz w:val="18"/>
                <w:szCs w:val="18"/>
              </w:rPr>
              <w:t>p=0.000</w:t>
            </w:r>
            <w:r w:rsidR="00731225" w:rsidRPr="00A760E3">
              <w:rPr>
                <w:rFonts w:cs="Times New Roman"/>
                <w:i/>
                <w:sz w:val="18"/>
                <w:szCs w:val="18"/>
              </w:rPr>
              <w:t>9</w:t>
            </w:r>
          </w:p>
        </w:tc>
        <w:tc>
          <w:tcPr>
            <w:tcW w:w="703" w:type="pct"/>
            <w:tcBorders>
              <w:left w:val="nil"/>
              <w:bottom w:val="dotted" w:sz="4" w:space="0" w:color="000000"/>
              <w:right w:val="nil"/>
            </w:tcBorders>
            <w:shd w:val="clear" w:color="auto" w:fill="auto"/>
            <w:vAlign w:val="center"/>
          </w:tcPr>
          <w:p w:rsidR="00BE570C" w:rsidRPr="00A760E3" w:rsidRDefault="00BE570C" w:rsidP="001804B7">
            <w:pPr>
              <w:spacing w:after="120"/>
              <w:contextualSpacing/>
              <w:jc w:val="center"/>
              <w:rPr>
                <w:rFonts w:cs="Times New Roman"/>
                <w:i/>
                <w:sz w:val="18"/>
                <w:szCs w:val="18"/>
              </w:rPr>
            </w:pPr>
            <w:r w:rsidRPr="00A760E3">
              <w:rPr>
                <w:rFonts w:cs="Times New Roman"/>
                <w:i/>
                <w:sz w:val="18"/>
                <w:szCs w:val="18"/>
              </w:rPr>
              <w:t>p=0.00</w:t>
            </w:r>
            <w:r w:rsidR="001804B7" w:rsidRPr="00A760E3">
              <w:rPr>
                <w:rFonts w:cs="Times New Roman"/>
                <w:i/>
                <w:sz w:val="18"/>
                <w:szCs w:val="18"/>
              </w:rPr>
              <w:t>4</w:t>
            </w:r>
            <w:r w:rsidRPr="00A760E3">
              <w:rPr>
                <w:rFonts w:cs="Times New Roman"/>
                <w:i/>
                <w:sz w:val="18"/>
                <w:szCs w:val="18"/>
              </w:rPr>
              <w:t>3</w:t>
            </w:r>
          </w:p>
        </w:tc>
        <w:tc>
          <w:tcPr>
            <w:tcW w:w="671" w:type="pct"/>
            <w:tcBorders>
              <w:left w:val="nil"/>
              <w:bottom w:val="dotted" w:sz="4" w:space="0" w:color="000000"/>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p=0.</w:t>
            </w:r>
            <w:r w:rsidR="00AD7123">
              <w:rPr>
                <w:rFonts w:cs="Times New Roman"/>
                <w:sz w:val="18"/>
                <w:szCs w:val="18"/>
              </w:rPr>
              <w:t>3042</w:t>
            </w:r>
          </w:p>
        </w:tc>
      </w:tr>
      <w:tr w:rsidR="00AD7123" w:rsidRPr="00EF3186" w:rsidTr="00BE570C">
        <w:trPr>
          <w:trHeight w:val="300"/>
          <w:jc w:val="center"/>
        </w:trPr>
        <w:tc>
          <w:tcPr>
            <w:tcW w:w="716" w:type="pct"/>
            <w:vMerge w:val="restart"/>
            <w:tcBorders>
              <w:top w:val="dotted" w:sz="4" w:space="0" w:color="000000"/>
              <w:left w:val="nil"/>
              <w:right w:val="nil"/>
            </w:tcBorders>
            <w:shd w:val="clear" w:color="auto" w:fill="auto"/>
            <w:vAlign w:val="center"/>
          </w:tcPr>
          <w:p w:rsidR="00BE570C" w:rsidRPr="006727C0" w:rsidRDefault="00BE570C" w:rsidP="004842B1">
            <w:pPr>
              <w:spacing w:after="120"/>
              <w:contextualSpacing/>
              <w:jc w:val="center"/>
              <w:rPr>
                <w:rFonts w:cs="Times New Roman"/>
                <w:b/>
                <w:bCs/>
                <w:sz w:val="20"/>
                <w:szCs w:val="20"/>
              </w:rPr>
            </w:pPr>
            <w:r w:rsidRPr="006727C0">
              <w:rPr>
                <w:rFonts w:cs="Times New Roman"/>
                <w:b/>
                <w:bCs/>
                <w:sz w:val="20"/>
                <w:szCs w:val="20"/>
              </w:rPr>
              <w:t>T</w:t>
            </w:r>
            <w:r>
              <w:rPr>
                <w:rFonts w:cs="Times New Roman"/>
                <w:b/>
                <w:bCs/>
                <w:sz w:val="20"/>
                <w:szCs w:val="20"/>
              </w:rPr>
              <w:t>P</w:t>
            </w:r>
          </w:p>
        </w:tc>
        <w:tc>
          <w:tcPr>
            <w:tcW w:w="732"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87"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802"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88"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703" w:type="pct"/>
            <w:tcBorders>
              <w:top w:val="dotted" w:sz="4" w:space="0" w:color="000000"/>
              <w:left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71" w:type="pct"/>
            <w:tcBorders>
              <w:top w:val="dotted" w:sz="4" w:space="0" w:color="000000"/>
              <w:left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r>
      <w:tr w:rsidR="00AD7123" w:rsidRPr="00EF3186" w:rsidTr="00BE570C">
        <w:trPr>
          <w:trHeight w:val="300"/>
          <w:jc w:val="center"/>
        </w:trPr>
        <w:tc>
          <w:tcPr>
            <w:tcW w:w="716" w:type="pct"/>
            <w:vMerge/>
            <w:tcBorders>
              <w:left w:val="nil"/>
              <w:bottom w:val="dotted" w:sz="4" w:space="0" w:color="000000"/>
              <w:right w:val="nil"/>
            </w:tcBorders>
            <w:shd w:val="clear" w:color="auto" w:fill="auto"/>
            <w:vAlign w:val="center"/>
          </w:tcPr>
          <w:p w:rsidR="00BE570C" w:rsidRPr="00540C2F" w:rsidRDefault="00BE570C" w:rsidP="002A7B28">
            <w:pPr>
              <w:spacing w:after="120"/>
              <w:contextualSpacing/>
              <w:jc w:val="center"/>
              <w:rPr>
                <w:rFonts w:cs="Times New Roman"/>
                <w:b/>
                <w:bCs/>
                <w:sz w:val="20"/>
                <w:szCs w:val="20"/>
              </w:rPr>
            </w:pPr>
          </w:p>
        </w:tc>
        <w:tc>
          <w:tcPr>
            <w:tcW w:w="732" w:type="pct"/>
            <w:tcBorders>
              <w:left w:val="nil"/>
              <w:bottom w:val="nil"/>
              <w:right w:val="nil"/>
            </w:tcBorders>
            <w:shd w:val="clear" w:color="auto" w:fill="auto"/>
            <w:vAlign w:val="center"/>
          </w:tcPr>
          <w:p w:rsidR="00BE570C" w:rsidRPr="00A760E3" w:rsidRDefault="00BE570C" w:rsidP="00933EBB">
            <w:pPr>
              <w:spacing w:after="120"/>
              <w:contextualSpacing/>
              <w:jc w:val="center"/>
              <w:rPr>
                <w:rFonts w:cs="Times New Roman"/>
                <w:i/>
                <w:sz w:val="18"/>
                <w:szCs w:val="18"/>
              </w:rPr>
            </w:pPr>
            <w:r w:rsidRPr="00A760E3">
              <w:rPr>
                <w:rFonts w:cs="Times New Roman"/>
                <w:i/>
                <w:sz w:val="18"/>
                <w:szCs w:val="18"/>
              </w:rPr>
              <w:t>p=0.00</w:t>
            </w:r>
            <w:r w:rsidR="00933EBB" w:rsidRPr="00A760E3">
              <w:rPr>
                <w:rFonts w:cs="Times New Roman"/>
                <w:i/>
                <w:sz w:val="18"/>
                <w:szCs w:val="18"/>
              </w:rPr>
              <w:t>12</w:t>
            </w:r>
          </w:p>
        </w:tc>
        <w:tc>
          <w:tcPr>
            <w:tcW w:w="687" w:type="pct"/>
            <w:tcBorders>
              <w:left w:val="nil"/>
              <w:bottom w:val="nil"/>
              <w:right w:val="nil"/>
            </w:tcBorders>
            <w:shd w:val="clear" w:color="auto" w:fill="auto"/>
            <w:vAlign w:val="center"/>
          </w:tcPr>
          <w:p w:rsidR="00BE570C" w:rsidRPr="00A760E3" w:rsidRDefault="00BE570C" w:rsidP="00074E28">
            <w:pPr>
              <w:spacing w:after="120"/>
              <w:contextualSpacing/>
              <w:jc w:val="center"/>
              <w:rPr>
                <w:rFonts w:cs="Times New Roman"/>
                <w:i/>
                <w:sz w:val="18"/>
                <w:szCs w:val="18"/>
              </w:rPr>
            </w:pPr>
            <w:r w:rsidRPr="00A760E3">
              <w:rPr>
                <w:rFonts w:cs="Times New Roman"/>
                <w:i/>
                <w:sz w:val="18"/>
                <w:szCs w:val="18"/>
              </w:rPr>
              <w:t>p=0.001</w:t>
            </w:r>
            <w:r w:rsidR="00074E28" w:rsidRPr="00A760E3">
              <w:rPr>
                <w:rFonts w:cs="Times New Roman"/>
                <w:i/>
                <w:sz w:val="18"/>
                <w:szCs w:val="18"/>
              </w:rPr>
              <w:t>0</w:t>
            </w:r>
          </w:p>
        </w:tc>
        <w:tc>
          <w:tcPr>
            <w:tcW w:w="802" w:type="pct"/>
            <w:tcBorders>
              <w:left w:val="nil"/>
              <w:bottom w:val="nil"/>
              <w:right w:val="nil"/>
            </w:tcBorders>
            <w:shd w:val="clear" w:color="auto" w:fill="auto"/>
            <w:vAlign w:val="center"/>
          </w:tcPr>
          <w:p w:rsidR="00BE570C" w:rsidRPr="00A760E3" w:rsidRDefault="00BE570C" w:rsidP="00731225">
            <w:pPr>
              <w:spacing w:after="120"/>
              <w:contextualSpacing/>
              <w:jc w:val="center"/>
              <w:rPr>
                <w:rFonts w:cs="Times New Roman"/>
                <w:i/>
                <w:sz w:val="18"/>
                <w:szCs w:val="18"/>
              </w:rPr>
            </w:pPr>
            <w:r w:rsidRPr="00A760E3">
              <w:rPr>
                <w:rFonts w:cs="Times New Roman"/>
                <w:i/>
                <w:sz w:val="18"/>
                <w:szCs w:val="18"/>
              </w:rPr>
              <w:t>p=0.00</w:t>
            </w:r>
            <w:r w:rsidR="00731225" w:rsidRPr="00A760E3">
              <w:rPr>
                <w:rFonts w:cs="Times New Roman"/>
                <w:i/>
                <w:sz w:val="18"/>
                <w:szCs w:val="18"/>
              </w:rPr>
              <w:t>5</w:t>
            </w:r>
            <w:r w:rsidRPr="00A760E3">
              <w:rPr>
                <w:rFonts w:cs="Times New Roman"/>
                <w:i/>
                <w:sz w:val="18"/>
                <w:szCs w:val="18"/>
              </w:rPr>
              <w:t>8</w:t>
            </w:r>
          </w:p>
        </w:tc>
        <w:tc>
          <w:tcPr>
            <w:tcW w:w="688" w:type="pct"/>
            <w:tcBorders>
              <w:left w:val="nil"/>
              <w:bottom w:val="nil"/>
              <w:right w:val="nil"/>
            </w:tcBorders>
            <w:shd w:val="clear" w:color="auto" w:fill="auto"/>
            <w:vAlign w:val="center"/>
          </w:tcPr>
          <w:p w:rsidR="00BE570C" w:rsidRPr="00A760E3" w:rsidRDefault="00BE570C" w:rsidP="00854E6F">
            <w:pPr>
              <w:spacing w:after="120"/>
              <w:contextualSpacing/>
              <w:jc w:val="center"/>
              <w:rPr>
                <w:rFonts w:cs="Times New Roman"/>
                <w:i/>
                <w:sz w:val="18"/>
                <w:szCs w:val="18"/>
              </w:rPr>
            </w:pPr>
            <w:r w:rsidRPr="00A760E3">
              <w:rPr>
                <w:rFonts w:cs="Times New Roman"/>
                <w:i/>
                <w:sz w:val="18"/>
                <w:szCs w:val="18"/>
              </w:rPr>
              <w:t>p=0.02</w:t>
            </w:r>
            <w:r w:rsidR="00854E6F" w:rsidRPr="00A760E3">
              <w:rPr>
                <w:rFonts w:cs="Times New Roman"/>
                <w:i/>
                <w:sz w:val="18"/>
                <w:szCs w:val="18"/>
              </w:rPr>
              <w:t>17</w:t>
            </w:r>
          </w:p>
        </w:tc>
        <w:tc>
          <w:tcPr>
            <w:tcW w:w="703" w:type="pct"/>
            <w:tcBorders>
              <w:left w:val="nil"/>
              <w:bottom w:val="nil"/>
              <w:right w:val="nil"/>
            </w:tcBorders>
            <w:shd w:val="clear" w:color="auto" w:fill="auto"/>
            <w:vAlign w:val="center"/>
          </w:tcPr>
          <w:p w:rsidR="00BE570C" w:rsidRPr="00A760E3" w:rsidRDefault="00BE570C" w:rsidP="001804B7">
            <w:pPr>
              <w:spacing w:after="120"/>
              <w:contextualSpacing/>
              <w:jc w:val="center"/>
              <w:rPr>
                <w:rFonts w:cs="Times New Roman"/>
                <w:i/>
                <w:sz w:val="18"/>
                <w:szCs w:val="18"/>
              </w:rPr>
            </w:pPr>
            <w:r w:rsidRPr="00A760E3">
              <w:rPr>
                <w:rFonts w:cs="Times New Roman"/>
                <w:i/>
                <w:sz w:val="18"/>
                <w:szCs w:val="18"/>
              </w:rPr>
              <w:t>p=0.01</w:t>
            </w:r>
            <w:r w:rsidR="001804B7" w:rsidRPr="00A760E3">
              <w:rPr>
                <w:rFonts w:cs="Times New Roman"/>
                <w:i/>
                <w:sz w:val="18"/>
                <w:szCs w:val="18"/>
              </w:rPr>
              <w:t>14</w:t>
            </w:r>
          </w:p>
        </w:tc>
        <w:tc>
          <w:tcPr>
            <w:tcW w:w="671" w:type="pct"/>
            <w:tcBorders>
              <w:left w:val="nil"/>
              <w:bottom w:val="nil"/>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p=0.</w:t>
            </w:r>
            <w:r w:rsidR="00AD7123">
              <w:rPr>
                <w:rFonts w:cs="Times New Roman"/>
                <w:sz w:val="18"/>
                <w:szCs w:val="18"/>
              </w:rPr>
              <w:t>3724</w:t>
            </w:r>
          </w:p>
        </w:tc>
      </w:tr>
      <w:tr w:rsidR="00AD7123" w:rsidRPr="00EF3186" w:rsidTr="00BE570C">
        <w:trPr>
          <w:trHeight w:val="300"/>
          <w:jc w:val="center"/>
        </w:trPr>
        <w:tc>
          <w:tcPr>
            <w:tcW w:w="716" w:type="pct"/>
            <w:vMerge w:val="restart"/>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jc w:val="center"/>
              <w:rPr>
                <w:rFonts w:cs="Times New Roman"/>
                <w:b/>
                <w:bCs/>
                <w:sz w:val="20"/>
                <w:szCs w:val="20"/>
              </w:rPr>
            </w:pPr>
            <w:r w:rsidRPr="00540C2F">
              <w:rPr>
                <w:rFonts w:cs="Times New Roman"/>
                <w:b/>
                <w:bCs/>
                <w:sz w:val="20"/>
                <w:szCs w:val="20"/>
              </w:rPr>
              <w:t>DP</w:t>
            </w:r>
          </w:p>
        </w:tc>
        <w:tc>
          <w:tcPr>
            <w:tcW w:w="732" w:type="pct"/>
            <w:tcBorders>
              <w:top w:val="dotted" w:sz="4" w:space="0" w:color="000000"/>
              <w:left w:val="nil"/>
              <w:bottom w:val="nil"/>
              <w:right w:val="nil"/>
            </w:tcBorders>
            <w:shd w:val="clear" w:color="auto" w:fill="auto"/>
            <w:vAlign w:val="center"/>
          </w:tcPr>
          <w:p w:rsidR="00BE570C" w:rsidRPr="00A760E3" w:rsidRDefault="00BE570C" w:rsidP="006B5BF1">
            <w:pPr>
              <w:spacing w:after="120"/>
              <w:contextualSpacing/>
              <w:jc w:val="center"/>
              <w:rPr>
                <w:rFonts w:cs="Times New Roman"/>
                <w:i/>
                <w:sz w:val="18"/>
                <w:szCs w:val="18"/>
              </w:rPr>
            </w:pPr>
            <w:r w:rsidRPr="00A760E3">
              <w:rPr>
                <w:rFonts w:cs="Times New Roman"/>
                <w:i/>
                <w:sz w:val="18"/>
                <w:szCs w:val="18"/>
              </w:rPr>
              <w:t>P3&gt;P4</w:t>
            </w:r>
          </w:p>
        </w:tc>
        <w:tc>
          <w:tcPr>
            <w:tcW w:w="687" w:type="pct"/>
            <w:tcBorders>
              <w:top w:val="dotted" w:sz="4" w:space="0" w:color="000000"/>
              <w:left w:val="nil"/>
              <w:bottom w:val="nil"/>
              <w:right w:val="nil"/>
            </w:tcBorders>
            <w:shd w:val="clear" w:color="auto" w:fill="auto"/>
            <w:vAlign w:val="center"/>
          </w:tcPr>
          <w:p w:rsidR="00BE570C" w:rsidRPr="00A760E3" w:rsidRDefault="00BE570C" w:rsidP="00A760E3">
            <w:pPr>
              <w:spacing w:after="120"/>
              <w:contextualSpacing/>
              <w:jc w:val="center"/>
              <w:rPr>
                <w:rFonts w:cs="Times New Roman"/>
                <w:i/>
                <w:sz w:val="18"/>
                <w:szCs w:val="18"/>
              </w:rPr>
            </w:pPr>
            <w:r w:rsidRPr="00A760E3">
              <w:rPr>
                <w:rFonts w:cs="Times New Roman"/>
                <w:i/>
                <w:sz w:val="18"/>
                <w:szCs w:val="18"/>
              </w:rPr>
              <w:t>P3</w:t>
            </w:r>
            <w:r w:rsidR="00A760E3" w:rsidRPr="00A760E3">
              <w:rPr>
                <w:rFonts w:cs="Times New Roman"/>
                <w:i/>
                <w:sz w:val="18"/>
                <w:szCs w:val="18"/>
              </w:rPr>
              <w:t>&gt;</w:t>
            </w:r>
            <w:r w:rsidRPr="00A760E3">
              <w:rPr>
                <w:rFonts w:cs="Times New Roman"/>
                <w:i/>
                <w:sz w:val="18"/>
                <w:szCs w:val="18"/>
              </w:rPr>
              <w:t>P4</w:t>
            </w:r>
          </w:p>
        </w:tc>
        <w:tc>
          <w:tcPr>
            <w:tcW w:w="802" w:type="pct"/>
            <w:tcBorders>
              <w:top w:val="dotted" w:sz="4" w:space="0" w:color="000000"/>
              <w:left w:val="nil"/>
              <w:bottom w:val="nil"/>
              <w:right w:val="nil"/>
            </w:tcBorders>
            <w:shd w:val="clear" w:color="auto" w:fill="auto"/>
            <w:vAlign w:val="center"/>
          </w:tcPr>
          <w:p w:rsidR="00BE570C" w:rsidRPr="00A760E3" w:rsidRDefault="00BE570C" w:rsidP="00A760E3">
            <w:pPr>
              <w:spacing w:after="120"/>
              <w:contextualSpacing/>
              <w:jc w:val="center"/>
              <w:rPr>
                <w:rFonts w:cs="Times New Roman"/>
                <w:i/>
                <w:sz w:val="18"/>
                <w:szCs w:val="18"/>
              </w:rPr>
            </w:pPr>
            <w:r w:rsidRPr="00A760E3">
              <w:rPr>
                <w:rFonts w:cs="Times New Roman"/>
                <w:i/>
                <w:sz w:val="18"/>
                <w:szCs w:val="18"/>
              </w:rPr>
              <w:t>P3</w:t>
            </w:r>
            <w:r w:rsidR="00A760E3" w:rsidRPr="00A760E3">
              <w:rPr>
                <w:rFonts w:cs="Times New Roman"/>
                <w:i/>
                <w:sz w:val="18"/>
                <w:szCs w:val="18"/>
              </w:rPr>
              <w:t>&gt;</w:t>
            </w:r>
            <w:r w:rsidRPr="00A760E3">
              <w:rPr>
                <w:rFonts w:cs="Times New Roman"/>
                <w:i/>
                <w:sz w:val="18"/>
                <w:szCs w:val="18"/>
              </w:rPr>
              <w:t>P4</w:t>
            </w:r>
          </w:p>
        </w:tc>
        <w:tc>
          <w:tcPr>
            <w:tcW w:w="688"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c>
          <w:tcPr>
            <w:tcW w:w="703"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i/>
                <w:sz w:val="18"/>
                <w:szCs w:val="18"/>
              </w:rPr>
            </w:pPr>
            <w:r w:rsidRPr="00C33190">
              <w:rPr>
                <w:rFonts w:cs="Times New Roman"/>
                <w:i/>
                <w:sz w:val="18"/>
                <w:szCs w:val="18"/>
              </w:rPr>
              <w:t>P3&gt;P4</w:t>
            </w:r>
          </w:p>
        </w:tc>
        <w:tc>
          <w:tcPr>
            <w:tcW w:w="671"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r>
      <w:tr w:rsidR="00AD7123" w:rsidRPr="00EF3186" w:rsidTr="00BE570C">
        <w:trPr>
          <w:trHeight w:val="300"/>
          <w:jc w:val="center"/>
        </w:trPr>
        <w:tc>
          <w:tcPr>
            <w:tcW w:w="716" w:type="pct"/>
            <w:vMerge/>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rPr>
                <w:rFonts w:cs="Times New Roman"/>
                <w:b/>
                <w:bCs/>
                <w:sz w:val="20"/>
                <w:szCs w:val="20"/>
              </w:rPr>
            </w:pPr>
          </w:p>
        </w:tc>
        <w:tc>
          <w:tcPr>
            <w:tcW w:w="732" w:type="pct"/>
            <w:tcBorders>
              <w:top w:val="nil"/>
              <w:left w:val="nil"/>
              <w:bottom w:val="dotted" w:sz="4" w:space="0" w:color="000000"/>
              <w:right w:val="nil"/>
            </w:tcBorders>
            <w:shd w:val="clear" w:color="auto" w:fill="auto"/>
            <w:vAlign w:val="center"/>
          </w:tcPr>
          <w:p w:rsidR="00BE570C" w:rsidRPr="00A760E3" w:rsidRDefault="00BE570C" w:rsidP="00933EBB">
            <w:pPr>
              <w:spacing w:after="120"/>
              <w:contextualSpacing/>
              <w:jc w:val="center"/>
              <w:rPr>
                <w:rFonts w:cs="Times New Roman"/>
                <w:i/>
                <w:sz w:val="18"/>
                <w:szCs w:val="18"/>
              </w:rPr>
            </w:pPr>
            <w:r w:rsidRPr="00A760E3">
              <w:rPr>
                <w:rFonts w:cs="Times New Roman"/>
                <w:i/>
                <w:sz w:val="18"/>
                <w:szCs w:val="18"/>
              </w:rPr>
              <w:t>p=0.0</w:t>
            </w:r>
            <w:r w:rsidR="00933EBB" w:rsidRPr="00A760E3">
              <w:rPr>
                <w:rFonts w:cs="Times New Roman"/>
                <w:i/>
                <w:sz w:val="18"/>
                <w:szCs w:val="18"/>
              </w:rPr>
              <w:t>227</w:t>
            </w:r>
          </w:p>
        </w:tc>
        <w:tc>
          <w:tcPr>
            <w:tcW w:w="687" w:type="pct"/>
            <w:tcBorders>
              <w:top w:val="nil"/>
              <w:left w:val="nil"/>
              <w:bottom w:val="dotted" w:sz="4" w:space="0" w:color="000000"/>
              <w:right w:val="nil"/>
            </w:tcBorders>
            <w:shd w:val="clear" w:color="auto" w:fill="auto"/>
            <w:vAlign w:val="center"/>
          </w:tcPr>
          <w:p w:rsidR="00BE570C" w:rsidRPr="00A760E3" w:rsidRDefault="00BE570C" w:rsidP="006817E8">
            <w:pPr>
              <w:spacing w:after="120"/>
              <w:contextualSpacing/>
              <w:jc w:val="center"/>
              <w:rPr>
                <w:rFonts w:cs="Times New Roman"/>
                <w:i/>
                <w:sz w:val="18"/>
                <w:szCs w:val="18"/>
              </w:rPr>
            </w:pPr>
            <w:r w:rsidRPr="00A760E3">
              <w:rPr>
                <w:rFonts w:cs="Times New Roman"/>
                <w:i/>
                <w:sz w:val="18"/>
                <w:szCs w:val="18"/>
              </w:rPr>
              <w:t>p=0.0</w:t>
            </w:r>
            <w:r w:rsidR="006817E8" w:rsidRPr="00A760E3">
              <w:rPr>
                <w:rFonts w:cs="Times New Roman"/>
                <w:i/>
                <w:sz w:val="18"/>
                <w:szCs w:val="18"/>
              </w:rPr>
              <w:t>335</w:t>
            </w:r>
          </w:p>
        </w:tc>
        <w:tc>
          <w:tcPr>
            <w:tcW w:w="802" w:type="pct"/>
            <w:tcBorders>
              <w:top w:val="nil"/>
              <w:left w:val="nil"/>
              <w:bottom w:val="dotted" w:sz="4" w:space="0" w:color="000000"/>
              <w:right w:val="nil"/>
            </w:tcBorders>
            <w:shd w:val="clear" w:color="auto" w:fill="auto"/>
            <w:vAlign w:val="center"/>
          </w:tcPr>
          <w:p w:rsidR="00BE570C" w:rsidRPr="00A760E3" w:rsidRDefault="00BE570C" w:rsidP="00731225">
            <w:pPr>
              <w:spacing w:after="120"/>
              <w:contextualSpacing/>
              <w:jc w:val="center"/>
              <w:rPr>
                <w:rFonts w:cs="Times New Roman"/>
                <w:i/>
                <w:sz w:val="18"/>
                <w:szCs w:val="18"/>
              </w:rPr>
            </w:pPr>
            <w:r w:rsidRPr="00A760E3">
              <w:rPr>
                <w:rFonts w:cs="Times New Roman"/>
                <w:i/>
                <w:sz w:val="18"/>
                <w:szCs w:val="18"/>
              </w:rPr>
              <w:t>p=0.0</w:t>
            </w:r>
            <w:r w:rsidR="00731225" w:rsidRPr="00A760E3">
              <w:rPr>
                <w:rFonts w:cs="Times New Roman"/>
                <w:i/>
                <w:sz w:val="18"/>
                <w:szCs w:val="18"/>
              </w:rPr>
              <w:t>405</w:t>
            </w:r>
          </w:p>
        </w:tc>
        <w:tc>
          <w:tcPr>
            <w:tcW w:w="688" w:type="pct"/>
            <w:tcBorders>
              <w:top w:val="nil"/>
              <w:left w:val="nil"/>
              <w:bottom w:val="dotted" w:sz="4" w:space="0" w:color="000000"/>
              <w:right w:val="nil"/>
            </w:tcBorders>
            <w:shd w:val="clear" w:color="auto" w:fill="auto"/>
            <w:vAlign w:val="center"/>
          </w:tcPr>
          <w:p w:rsidR="00BE570C" w:rsidRPr="00C33190" w:rsidRDefault="00BE570C" w:rsidP="00854E6F">
            <w:pPr>
              <w:spacing w:after="120"/>
              <w:contextualSpacing/>
              <w:jc w:val="center"/>
              <w:rPr>
                <w:rFonts w:cs="Times New Roman"/>
                <w:sz w:val="18"/>
                <w:szCs w:val="18"/>
              </w:rPr>
            </w:pPr>
            <w:r w:rsidRPr="00C33190">
              <w:rPr>
                <w:rFonts w:cs="Times New Roman"/>
                <w:sz w:val="18"/>
                <w:szCs w:val="18"/>
              </w:rPr>
              <w:t>p=0.</w:t>
            </w:r>
            <w:r w:rsidR="00854E6F">
              <w:rPr>
                <w:rFonts w:cs="Times New Roman"/>
                <w:sz w:val="18"/>
                <w:szCs w:val="18"/>
              </w:rPr>
              <w:t>0635</w:t>
            </w:r>
          </w:p>
        </w:tc>
        <w:tc>
          <w:tcPr>
            <w:tcW w:w="703" w:type="pct"/>
            <w:tcBorders>
              <w:top w:val="nil"/>
              <w:left w:val="nil"/>
              <w:bottom w:val="dotted" w:sz="4" w:space="0" w:color="000000"/>
              <w:right w:val="nil"/>
            </w:tcBorders>
            <w:shd w:val="clear" w:color="auto" w:fill="auto"/>
            <w:vAlign w:val="center"/>
          </w:tcPr>
          <w:p w:rsidR="00BE570C" w:rsidRPr="00C33190" w:rsidRDefault="00BE570C" w:rsidP="001804B7">
            <w:pPr>
              <w:spacing w:after="120"/>
              <w:contextualSpacing/>
              <w:jc w:val="center"/>
              <w:rPr>
                <w:rFonts w:cs="Times New Roman"/>
                <w:i/>
                <w:sz w:val="18"/>
                <w:szCs w:val="18"/>
              </w:rPr>
            </w:pPr>
            <w:r w:rsidRPr="00C33190">
              <w:rPr>
                <w:rFonts w:cs="Times New Roman"/>
                <w:i/>
                <w:sz w:val="18"/>
                <w:szCs w:val="18"/>
              </w:rPr>
              <w:t>p=0.0</w:t>
            </w:r>
            <w:r w:rsidR="001804B7">
              <w:rPr>
                <w:rFonts w:cs="Times New Roman"/>
                <w:i/>
                <w:sz w:val="18"/>
                <w:szCs w:val="18"/>
              </w:rPr>
              <w:t>089</w:t>
            </w:r>
          </w:p>
        </w:tc>
        <w:tc>
          <w:tcPr>
            <w:tcW w:w="671" w:type="pct"/>
            <w:tcBorders>
              <w:top w:val="nil"/>
              <w:left w:val="nil"/>
              <w:bottom w:val="dotted" w:sz="4" w:space="0" w:color="000000"/>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p=0.</w:t>
            </w:r>
            <w:r w:rsidR="00AD7123">
              <w:rPr>
                <w:rFonts w:cs="Times New Roman"/>
                <w:sz w:val="18"/>
                <w:szCs w:val="18"/>
              </w:rPr>
              <w:t>1991</w:t>
            </w:r>
          </w:p>
        </w:tc>
      </w:tr>
      <w:tr w:rsidR="00AD7123" w:rsidRPr="00EF3186" w:rsidTr="00BE570C">
        <w:trPr>
          <w:trHeight w:val="300"/>
          <w:jc w:val="center"/>
        </w:trPr>
        <w:tc>
          <w:tcPr>
            <w:tcW w:w="716" w:type="pct"/>
            <w:vMerge w:val="restart"/>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jc w:val="center"/>
              <w:rPr>
                <w:rFonts w:cs="Times New Roman"/>
                <w:b/>
                <w:bCs/>
                <w:sz w:val="20"/>
                <w:szCs w:val="20"/>
              </w:rPr>
            </w:pPr>
            <w:r w:rsidRPr="00540C2F">
              <w:rPr>
                <w:rFonts w:cs="Times New Roman"/>
                <w:b/>
                <w:bCs/>
                <w:sz w:val="20"/>
                <w:szCs w:val="20"/>
              </w:rPr>
              <w:t>DP/TP</w:t>
            </w:r>
          </w:p>
        </w:tc>
        <w:tc>
          <w:tcPr>
            <w:tcW w:w="732"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c>
          <w:tcPr>
            <w:tcW w:w="687"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c>
          <w:tcPr>
            <w:tcW w:w="802"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c>
          <w:tcPr>
            <w:tcW w:w="688"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c>
          <w:tcPr>
            <w:tcW w:w="703"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c>
          <w:tcPr>
            <w:tcW w:w="671" w:type="pct"/>
            <w:tcBorders>
              <w:top w:val="dotted" w:sz="4" w:space="0" w:color="000000"/>
              <w:left w:val="nil"/>
              <w:bottom w:val="nil"/>
              <w:right w:val="nil"/>
            </w:tcBorders>
            <w:shd w:val="clear" w:color="auto" w:fill="auto"/>
            <w:vAlign w:val="center"/>
          </w:tcPr>
          <w:p w:rsidR="00BE570C" w:rsidRPr="00C33190" w:rsidRDefault="00BE570C" w:rsidP="00943BED">
            <w:pPr>
              <w:spacing w:after="120"/>
              <w:contextualSpacing/>
              <w:jc w:val="center"/>
              <w:rPr>
                <w:rFonts w:cs="Times New Roman"/>
                <w:sz w:val="18"/>
                <w:szCs w:val="18"/>
              </w:rPr>
            </w:pPr>
            <w:r w:rsidRPr="00C33190">
              <w:rPr>
                <w:rFonts w:cs="Times New Roman"/>
                <w:sz w:val="18"/>
                <w:szCs w:val="18"/>
              </w:rPr>
              <w:t>P</w:t>
            </w:r>
            <w:r w:rsidR="00943BED">
              <w:rPr>
                <w:rFonts w:cs="Times New Roman"/>
                <w:sz w:val="18"/>
                <w:szCs w:val="18"/>
              </w:rPr>
              <w:t>3</w:t>
            </w:r>
            <w:r w:rsidRPr="00C33190">
              <w:rPr>
                <w:rFonts w:cs="Times New Roman"/>
                <w:sz w:val="18"/>
                <w:szCs w:val="18"/>
              </w:rPr>
              <w:t>=P</w:t>
            </w:r>
            <w:r w:rsidR="00943BED">
              <w:rPr>
                <w:rFonts w:cs="Times New Roman"/>
                <w:sz w:val="18"/>
                <w:szCs w:val="18"/>
              </w:rPr>
              <w:t>4</w:t>
            </w:r>
          </w:p>
        </w:tc>
      </w:tr>
      <w:tr w:rsidR="00AD7123" w:rsidRPr="00EF3186" w:rsidTr="00BE570C">
        <w:trPr>
          <w:trHeight w:val="296"/>
          <w:jc w:val="center"/>
        </w:trPr>
        <w:tc>
          <w:tcPr>
            <w:tcW w:w="716" w:type="pct"/>
            <w:vMerge/>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rPr>
                <w:rFonts w:cs="Times New Roman"/>
                <w:b/>
                <w:bCs/>
                <w:sz w:val="20"/>
                <w:szCs w:val="20"/>
              </w:rPr>
            </w:pPr>
          </w:p>
        </w:tc>
        <w:tc>
          <w:tcPr>
            <w:tcW w:w="732" w:type="pct"/>
            <w:tcBorders>
              <w:top w:val="nil"/>
              <w:left w:val="nil"/>
              <w:bottom w:val="dotted" w:sz="4" w:space="0" w:color="000000"/>
              <w:right w:val="nil"/>
            </w:tcBorders>
            <w:shd w:val="clear" w:color="auto" w:fill="auto"/>
            <w:vAlign w:val="center"/>
          </w:tcPr>
          <w:p w:rsidR="00BE570C" w:rsidRPr="00C33190" w:rsidRDefault="00BE570C" w:rsidP="00933EBB">
            <w:pPr>
              <w:spacing w:after="120"/>
              <w:contextualSpacing/>
              <w:jc w:val="center"/>
              <w:rPr>
                <w:rFonts w:cs="Times New Roman"/>
                <w:sz w:val="18"/>
                <w:szCs w:val="18"/>
              </w:rPr>
            </w:pPr>
            <w:r w:rsidRPr="00C33190">
              <w:rPr>
                <w:rFonts w:cs="Times New Roman"/>
                <w:sz w:val="18"/>
                <w:szCs w:val="18"/>
              </w:rPr>
              <w:t>p=0.1</w:t>
            </w:r>
            <w:r w:rsidR="00933EBB">
              <w:rPr>
                <w:rFonts w:cs="Times New Roman"/>
                <w:sz w:val="18"/>
                <w:szCs w:val="18"/>
              </w:rPr>
              <w:t>824</w:t>
            </w:r>
          </w:p>
        </w:tc>
        <w:tc>
          <w:tcPr>
            <w:tcW w:w="687" w:type="pct"/>
            <w:tcBorders>
              <w:top w:val="nil"/>
              <w:left w:val="nil"/>
              <w:bottom w:val="dotted" w:sz="4" w:space="0" w:color="000000"/>
              <w:right w:val="nil"/>
            </w:tcBorders>
            <w:shd w:val="clear" w:color="auto" w:fill="auto"/>
            <w:vAlign w:val="center"/>
          </w:tcPr>
          <w:p w:rsidR="00BE570C" w:rsidRPr="00C33190" w:rsidRDefault="00BE570C" w:rsidP="006817E8">
            <w:pPr>
              <w:spacing w:after="120"/>
              <w:contextualSpacing/>
              <w:jc w:val="center"/>
              <w:rPr>
                <w:rFonts w:cs="Times New Roman"/>
                <w:sz w:val="18"/>
                <w:szCs w:val="18"/>
              </w:rPr>
            </w:pPr>
            <w:r w:rsidRPr="00C33190">
              <w:rPr>
                <w:rFonts w:cs="Times New Roman"/>
                <w:sz w:val="18"/>
                <w:szCs w:val="18"/>
              </w:rPr>
              <w:t>p=0.1</w:t>
            </w:r>
            <w:r w:rsidR="006817E8">
              <w:rPr>
                <w:rFonts w:cs="Times New Roman"/>
                <w:sz w:val="18"/>
                <w:szCs w:val="18"/>
              </w:rPr>
              <w:t>733</w:t>
            </w:r>
          </w:p>
        </w:tc>
        <w:tc>
          <w:tcPr>
            <w:tcW w:w="802" w:type="pct"/>
            <w:tcBorders>
              <w:top w:val="nil"/>
              <w:left w:val="nil"/>
              <w:bottom w:val="dotted" w:sz="4" w:space="0" w:color="000000"/>
              <w:right w:val="nil"/>
            </w:tcBorders>
            <w:shd w:val="clear" w:color="auto" w:fill="auto"/>
            <w:vAlign w:val="center"/>
          </w:tcPr>
          <w:p w:rsidR="00BE570C" w:rsidRPr="00C33190" w:rsidRDefault="00BE570C" w:rsidP="00731225">
            <w:pPr>
              <w:spacing w:after="120"/>
              <w:contextualSpacing/>
              <w:jc w:val="center"/>
              <w:rPr>
                <w:rFonts w:cs="Times New Roman"/>
                <w:sz w:val="18"/>
                <w:szCs w:val="18"/>
              </w:rPr>
            </w:pPr>
            <w:r w:rsidRPr="00C33190">
              <w:rPr>
                <w:rFonts w:cs="Times New Roman"/>
                <w:sz w:val="18"/>
                <w:szCs w:val="18"/>
              </w:rPr>
              <w:t>p=0.3</w:t>
            </w:r>
            <w:r w:rsidR="00731225">
              <w:rPr>
                <w:rFonts w:cs="Times New Roman"/>
                <w:sz w:val="18"/>
                <w:szCs w:val="18"/>
              </w:rPr>
              <w:t>844</w:t>
            </w:r>
          </w:p>
        </w:tc>
        <w:tc>
          <w:tcPr>
            <w:tcW w:w="688" w:type="pct"/>
            <w:tcBorders>
              <w:top w:val="nil"/>
              <w:left w:val="nil"/>
              <w:bottom w:val="dotted" w:sz="4" w:space="0" w:color="000000"/>
              <w:right w:val="nil"/>
            </w:tcBorders>
            <w:shd w:val="clear" w:color="auto" w:fill="auto"/>
            <w:vAlign w:val="center"/>
          </w:tcPr>
          <w:p w:rsidR="00BE570C" w:rsidRPr="00C33190" w:rsidRDefault="00BE570C" w:rsidP="00854E6F">
            <w:pPr>
              <w:spacing w:after="120"/>
              <w:contextualSpacing/>
              <w:jc w:val="center"/>
              <w:rPr>
                <w:rFonts w:cs="Times New Roman"/>
                <w:sz w:val="18"/>
                <w:szCs w:val="18"/>
              </w:rPr>
            </w:pPr>
            <w:r w:rsidRPr="00C33190">
              <w:rPr>
                <w:rFonts w:cs="Times New Roman"/>
                <w:sz w:val="18"/>
                <w:szCs w:val="18"/>
              </w:rPr>
              <w:t>p=0.6</w:t>
            </w:r>
            <w:r w:rsidR="00854E6F">
              <w:rPr>
                <w:rFonts w:cs="Times New Roman"/>
                <w:sz w:val="18"/>
                <w:szCs w:val="18"/>
              </w:rPr>
              <w:t>741</w:t>
            </w:r>
          </w:p>
        </w:tc>
        <w:tc>
          <w:tcPr>
            <w:tcW w:w="703" w:type="pct"/>
            <w:tcBorders>
              <w:top w:val="nil"/>
              <w:left w:val="nil"/>
              <w:bottom w:val="dotted" w:sz="4" w:space="0" w:color="000000"/>
              <w:right w:val="nil"/>
            </w:tcBorders>
            <w:shd w:val="clear" w:color="auto" w:fill="auto"/>
            <w:vAlign w:val="center"/>
          </w:tcPr>
          <w:p w:rsidR="00BE570C" w:rsidRPr="00C33190" w:rsidRDefault="00BE570C" w:rsidP="001804B7">
            <w:pPr>
              <w:spacing w:after="120"/>
              <w:contextualSpacing/>
              <w:jc w:val="center"/>
              <w:rPr>
                <w:rFonts w:cs="Times New Roman"/>
                <w:sz w:val="18"/>
                <w:szCs w:val="18"/>
              </w:rPr>
            </w:pPr>
            <w:r w:rsidRPr="00C33190">
              <w:rPr>
                <w:rFonts w:cs="Times New Roman"/>
                <w:sz w:val="18"/>
                <w:szCs w:val="18"/>
              </w:rPr>
              <w:t>p=0.</w:t>
            </w:r>
            <w:r w:rsidR="001804B7">
              <w:rPr>
                <w:rFonts w:cs="Times New Roman"/>
                <w:sz w:val="18"/>
                <w:szCs w:val="18"/>
              </w:rPr>
              <w:t>6606</w:t>
            </w:r>
          </w:p>
        </w:tc>
        <w:tc>
          <w:tcPr>
            <w:tcW w:w="671" w:type="pct"/>
            <w:tcBorders>
              <w:top w:val="nil"/>
              <w:left w:val="nil"/>
              <w:bottom w:val="dotted" w:sz="4" w:space="0" w:color="000000"/>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p=0.8</w:t>
            </w:r>
            <w:r w:rsidR="00AD7123">
              <w:rPr>
                <w:rFonts w:cs="Times New Roman"/>
                <w:sz w:val="18"/>
                <w:szCs w:val="18"/>
              </w:rPr>
              <w:t>711</w:t>
            </w:r>
          </w:p>
        </w:tc>
      </w:tr>
      <w:tr w:rsidR="00AD7123" w:rsidRPr="00EF3186" w:rsidTr="00BE570C">
        <w:trPr>
          <w:trHeight w:val="300"/>
          <w:jc w:val="center"/>
        </w:trPr>
        <w:tc>
          <w:tcPr>
            <w:tcW w:w="716" w:type="pct"/>
            <w:vMerge w:val="restart"/>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jc w:val="center"/>
              <w:rPr>
                <w:rFonts w:cs="Times New Roman"/>
                <w:b/>
                <w:bCs/>
                <w:sz w:val="20"/>
                <w:szCs w:val="20"/>
              </w:rPr>
            </w:pPr>
            <w:r w:rsidRPr="00540C2F">
              <w:rPr>
                <w:rFonts w:cs="Times New Roman"/>
                <w:b/>
                <w:bCs/>
                <w:sz w:val="20"/>
                <w:szCs w:val="20"/>
              </w:rPr>
              <w:t>Flow</w:t>
            </w:r>
          </w:p>
        </w:tc>
        <w:tc>
          <w:tcPr>
            <w:tcW w:w="732"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i/>
                <w:sz w:val="18"/>
                <w:szCs w:val="18"/>
              </w:rPr>
            </w:pPr>
            <w:r w:rsidRPr="00C33190">
              <w:rPr>
                <w:rFonts w:cs="Times New Roman"/>
                <w:i/>
                <w:sz w:val="18"/>
                <w:szCs w:val="18"/>
              </w:rPr>
              <w:t>P3&gt;P4</w:t>
            </w:r>
          </w:p>
        </w:tc>
        <w:tc>
          <w:tcPr>
            <w:tcW w:w="687"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i/>
                <w:sz w:val="18"/>
                <w:szCs w:val="18"/>
              </w:rPr>
            </w:pPr>
            <w:r w:rsidRPr="00C33190">
              <w:rPr>
                <w:rFonts w:cs="Times New Roman"/>
                <w:i/>
                <w:sz w:val="18"/>
                <w:szCs w:val="18"/>
              </w:rPr>
              <w:t>P3&gt;P4</w:t>
            </w:r>
          </w:p>
        </w:tc>
        <w:tc>
          <w:tcPr>
            <w:tcW w:w="802"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i/>
                <w:sz w:val="18"/>
                <w:szCs w:val="18"/>
              </w:rPr>
            </w:pPr>
            <w:r w:rsidRPr="00C33190">
              <w:rPr>
                <w:rFonts w:cs="Times New Roman"/>
                <w:i/>
                <w:sz w:val="18"/>
                <w:szCs w:val="18"/>
              </w:rPr>
              <w:t>P3&gt;P4</w:t>
            </w:r>
          </w:p>
        </w:tc>
        <w:tc>
          <w:tcPr>
            <w:tcW w:w="688" w:type="pct"/>
            <w:tcBorders>
              <w:top w:val="dotted" w:sz="4" w:space="0" w:color="000000"/>
              <w:left w:val="nil"/>
              <w:bottom w:val="nil"/>
              <w:right w:val="nil"/>
            </w:tcBorders>
            <w:shd w:val="clear" w:color="auto" w:fill="auto"/>
            <w:vAlign w:val="center"/>
          </w:tcPr>
          <w:p w:rsidR="00BE570C" w:rsidRPr="00A760E3" w:rsidRDefault="00BE570C" w:rsidP="00A760E3">
            <w:pPr>
              <w:spacing w:after="120"/>
              <w:contextualSpacing/>
              <w:jc w:val="center"/>
              <w:rPr>
                <w:rFonts w:cs="Times New Roman"/>
                <w:sz w:val="18"/>
                <w:szCs w:val="18"/>
              </w:rPr>
            </w:pPr>
            <w:r w:rsidRPr="00A760E3">
              <w:rPr>
                <w:rFonts w:cs="Times New Roman"/>
                <w:sz w:val="18"/>
                <w:szCs w:val="18"/>
              </w:rPr>
              <w:t>P3</w:t>
            </w:r>
            <w:r w:rsidR="00A760E3" w:rsidRPr="00A760E3">
              <w:rPr>
                <w:rFonts w:cs="Times New Roman"/>
                <w:sz w:val="18"/>
                <w:szCs w:val="18"/>
              </w:rPr>
              <w:t>=</w:t>
            </w:r>
            <w:r w:rsidRPr="00A760E3">
              <w:rPr>
                <w:rFonts w:cs="Times New Roman"/>
                <w:sz w:val="18"/>
                <w:szCs w:val="18"/>
              </w:rPr>
              <w:t>P4</w:t>
            </w:r>
          </w:p>
        </w:tc>
        <w:tc>
          <w:tcPr>
            <w:tcW w:w="703"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c>
          <w:tcPr>
            <w:tcW w:w="671" w:type="pct"/>
            <w:tcBorders>
              <w:top w:val="dotted" w:sz="4" w:space="0" w:color="000000"/>
              <w:left w:val="nil"/>
              <w:bottom w:val="nil"/>
              <w:right w:val="nil"/>
            </w:tcBorders>
            <w:shd w:val="clear" w:color="auto" w:fill="auto"/>
            <w:vAlign w:val="center"/>
          </w:tcPr>
          <w:p w:rsidR="00BE570C" w:rsidRPr="00C33190" w:rsidRDefault="00BE570C" w:rsidP="006B5BF1">
            <w:pPr>
              <w:spacing w:after="120"/>
              <w:contextualSpacing/>
              <w:jc w:val="center"/>
              <w:rPr>
                <w:rFonts w:cs="Times New Roman"/>
                <w:sz w:val="18"/>
                <w:szCs w:val="18"/>
              </w:rPr>
            </w:pPr>
            <w:r w:rsidRPr="00C33190">
              <w:rPr>
                <w:rFonts w:cs="Times New Roman"/>
                <w:sz w:val="18"/>
                <w:szCs w:val="18"/>
              </w:rPr>
              <w:t>P3=P4</w:t>
            </w:r>
          </w:p>
        </w:tc>
      </w:tr>
      <w:tr w:rsidR="00AD7123" w:rsidRPr="00EF3186" w:rsidTr="00BE570C">
        <w:trPr>
          <w:trHeight w:val="300"/>
          <w:jc w:val="center"/>
        </w:trPr>
        <w:tc>
          <w:tcPr>
            <w:tcW w:w="716" w:type="pct"/>
            <w:vMerge/>
            <w:tcBorders>
              <w:top w:val="dotted" w:sz="4" w:space="0" w:color="000000"/>
              <w:left w:val="nil"/>
              <w:bottom w:val="dotted" w:sz="4" w:space="0" w:color="000000"/>
              <w:right w:val="nil"/>
            </w:tcBorders>
            <w:shd w:val="clear" w:color="auto" w:fill="auto"/>
            <w:vAlign w:val="center"/>
          </w:tcPr>
          <w:p w:rsidR="00BE570C" w:rsidRPr="00EF3186" w:rsidRDefault="00BE570C" w:rsidP="002A7B28">
            <w:pPr>
              <w:spacing w:after="120"/>
              <w:contextualSpacing/>
              <w:rPr>
                <w:rFonts w:cs="Times New Roman"/>
                <w:b/>
                <w:bCs/>
                <w:sz w:val="20"/>
                <w:szCs w:val="20"/>
              </w:rPr>
            </w:pPr>
          </w:p>
        </w:tc>
        <w:tc>
          <w:tcPr>
            <w:tcW w:w="732" w:type="pct"/>
            <w:tcBorders>
              <w:top w:val="nil"/>
              <w:left w:val="nil"/>
              <w:bottom w:val="dotted" w:sz="4" w:space="0" w:color="000000"/>
              <w:right w:val="nil"/>
            </w:tcBorders>
            <w:shd w:val="clear" w:color="auto" w:fill="auto"/>
            <w:vAlign w:val="center"/>
          </w:tcPr>
          <w:p w:rsidR="00BE570C" w:rsidRPr="00C33190" w:rsidRDefault="00BE570C" w:rsidP="00933EBB">
            <w:pPr>
              <w:spacing w:after="120"/>
              <w:contextualSpacing/>
              <w:jc w:val="center"/>
              <w:rPr>
                <w:rFonts w:cs="Times New Roman"/>
                <w:i/>
                <w:sz w:val="18"/>
                <w:szCs w:val="18"/>
              </w:rPr>
            </w:pPr>
            <w:r w:rsidRPr="00C33190">
              <w:rPr>
                <w:rFonts w:cs="Times New Roman"/>
                <w:i/>
                <w:sz w:val="18"/>
                <w:szCs w:val="18"/>
              </w:rPr>
              <w:t>p=0.00</w:t>
            </w:r>
            <w:r w:rsidR="00933EBB">
              <w:rPr>
                <w:rFonts w:cs="Times New Roman"/>
                <w:i/>
                <w:sz w:val="18"/>
                <w:szCs w:val="18"/>
              </w:rPr>
              <w:t>4</w:t>
            </w:r>
            <w:r>
              <w:rPr>
                <w:rFonts w:cs="Times New Roman"/>
                <w:i/>
                <w:sz w:val="18"/>
                <w:szCs w:val="18"/>
              </w:rPr>
              <w:t>0</w:t>
            </w:r>
          </w:p>
        </w:tc>
        <w:tc>
          <w:tcPr>
            <w:tcW w:w="687" w:type="pct"/>
            <w:tcBorders>
              <w:top w:val="nil"/>
              <w:left w:val="nil"/>
              <w:bottom w:val="dotted" w:sz="4" w:space="0" w:color="000000"/>
              <w:right w:val="nil"/>
            </w:tcBorders>
            <w:shd w:val="clear" w:color="auto" w:fill="auto"/>
            <w:vAlign w:val="center"/>
          </w:tcPr>
          <w:p w:rsidR="00BE570C" w:rsidRPr="00C33190" w:rsidRDefault="00BE570C" w:rsidP="006817E8">
            <w:pPr>
              <w:spacing w:after="120"/>
              <w:contextualSpacing/>
              <w:jc w:val="center"/>
              <w:rPr>
                <w:rFonts w:cs="Times New Roman"/>
                <w:i/>
                <w:sz w:val="18"/>
                <w:szCs w:val="18"/>
              </w:rPr>
            </w:pPr>
            <w:r w:rsidRPr="00C33190">
              <w:rPr>
                <w:rFonts w:cs="Times New Roman"/>
                <w:i/>
                <w:sz w:val="18"/>
                <w:szCs w:val="18"/>
              </w:rPr>
              <w:t>p=0.001</w:t>
            </w:r>
            <w:r w:rsidR="006817E8">
              <w:rPr>
                <w:rFonts w:cs="Times New Roman"/>
                <w:i/>
                <w:sz w:val="18"/>
                <w:szCs w:val="18"/>
              </w:rPr>
              <w:t>9</w:t>
            </w:r>
          </w:p>
        </w:tc>
        <w:tc>
          <w:tcPr>
            <w:tcW w:w="802" w:type="pct"/>
            <w:tcBorders>
              <w:top w:val="nil"/>
              <w:left w:val="nil"/>
              <w:bottom w:val="dotted" w:sz="4" w:space="0" w:color="000000"/>
              <w:right w:val="nil"/>
            </w:tcBorders>
            <w:shd w:val="clear" w:color="auto" w:fill="auto"/>
            <w:vAlign w:val="center"/>
          </w:tcPr>
          <w:p w:rsidR="00BE570C" w:rsidRPr="00C33190" w:rsidRDefault="00BE570C" w:rsidP="00731225">
            <w:pPr>
              <w:spacing w:after="120"/>
              <w:contextualSpacing/>
              <w:jc w:val="center"/>
              <w:rPr>
                <w:rFonts w:cs="Times New Roman"/>
                <w:i/>
                <w:sz w:val="18"/>
                <w:szCs w:val="18"/>
              </w:rPr>
            </w:pPr>
            <w:r w:rsidRPr="00C33190">
              <w:rPr>
                <w:rFonts w:cs="Times New Roman"/>
                <w:i/>
                <w:sz w:val="18"/>
                <w:szCs w:val="18"/>
              </w:rPr>
              <w:t>p=0.01</w:t>
            </w:r>
            <w:r w:rsidR="00731225">
              <w:rPr>
                <w:rFonts w:cs="Times New Roman"/>
                <w:i/>
                <w:sz w:val="18"/>
                <w:szCs w:val="18"/>
              </w:rPr>
              <w:t>57</w:t>
            </w:r>
          </w:p>
        </w:tc>
        <w:tc>
          <w:tcPr>
            <w:tcW w:w="688" w:type="pct"/>
            <w:tcBorders>
              <w:top w:val="nil"/>
              <w:left w:val="nil"/>
              <w:bottom w:val="dotted" w:sz="4" w:space="0" w:color="000000"/>
              <w:right w:val="nil"/>
            </w:tcBorders>
            <w:shd w:val="clear" w:color="auto" w:fill="auto"/>
            <w:vAlign w:val="center"/>
          </w:tcPr>
          <w:p w:rsidR="00BE570C" w:rsidRPr="00854E6F" w:rsidRDefault="00BE570C" w:rsidP="00854E6F">
            <w:pPr>
              <w:spacing w:after="120"/>
              <w:contextualSpacing/>
              <w:jc w:val="center"/>
              <w:rPr>
                <w:rFonts w:cs="Times New Roman"/>
                <w:sz w:val="18"/>
                <w:szCs w:val="18"/>
              </w:rPr>
            </w:pPr>
            <w:r w:rsidRPr="00854E6F">
              <w:rPr>
                <w:rFonts w:cs="Times New Roman"/>
                <w:sz w:val="18"/>
                <w:szCs w:val="18"/>
              </w:rPr>
              <w:t>p=0.0</w:t>
            </w:r>
            <w:r w:rsidR="00854E6F" w:rsidRPr="00854E6F">
              <w:rPr>
                <w:rFonts w:cs="Times New Roman"/>
                <w:sz w:val="18"/>
                <w:szCs w:val="18"/>
              </w:rPr>
              <w:t>693</w:t>
            </w:r>
          </w:p>
        </w:tc>
        <w:tc>
          <w:tcPr>
            <w:tcW w:w="703" w:type="pct"/>
            <w:tcBorders>
              <w:top w:val="nil"/>
              <w:left w:val="nil"/>
              <w:bottom w:val="dotted" w:sz="4" w:space="0" w:color="000000"/>
              <w:right w:val="nil"/>
            </w:tcBorders>
            <w:shd w:val="clear" w:color="auto" w:fill="auto"/>
            <w:vAlign w:val="center"/>
          </w:tcPr>
          <w:p w:rsidR="00BE570C" w:rsidRPr="00C33190" w:rsidRDefault="00BE570C" w:rsidP="001804B7">
            <w:pPr>
              <w:spacing w:after="120"/>
              <w:contextualSpacing/>
              <w:jc w:val="center"/>
              <w:rPr>
                <w:rFonts w:cs="Times New Roman"/>
                <w:sz w:val="18"/>
                <w:szCs w:val="18"/>
              </w:rPr>
            </w:pPr>
            <w:r w:rsidRPr="00C33190">
              <w:rPr>
                <w:rFonts w:cs="Times New Roman"/>
                <w:sz w:val="18"/>
                <w:szCs w:val="18"/>
              </w:rPr>
              <w:t>p=0.0</w:t>
            </w:r>
            <w:r w:rsidR="001804B7">
              <w:rPr>
                <w:rFonts w:cs="Times New Roman"/>
                <w:sz w:val="18"/>
                <w:szCs w:val="18"/>
              </w:rPr>
              <w:t>993</w:t>
            </w:r>
          </w:p>
        </w:tc>
        <w:tc>
          <w:tcPr>
            <w:tcW w:w="671" w:type="pct"/>
            <w:tcBorders>
              <w:top w:val="nil"/>
              <w:left w:val="nil"/>
              <w:bottom w:val="dotted" w:sz="4" w:space="0" w:color="000000"/>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p=0.2</w:t>
            </w:r>
            <w:r w:rsidR="00AD7123">
              <w:rPr>
                <w:rFonts w:cs="Times New Roman"/>
                <w:sz w:val="18"/>
                <w:szCs w:val="18"/>
              </w:rPr>
              <w:t>299</w:t>
            </w:r>
          </w:p>
        </w:tc>
      </w:tr>
      <w:tr w:rsidR="00AD7123" w:rsidRPr="00EF3186" w:rsidTr="00BE570C">
        <w:trPr>
          <w:trHeight w:val="300"/>
          <w:jc w:val="center"/>
        </w:trPr>
        <w:tc>
          <w:tcPr>
            <w:tcW w:w="716" w:type="pct"/>
            <w:vMerge w:val="restart"/>
            <w:tcBorders>
              <w:top w:val="nil"/>
              <w:left w:val="nil"/>
              <w:bottom w:val="single" w:sz="8" w:space="0" w:color="000000"/>
              <w:right w:val="nil"/>
            </w:tcBorders>
            <w:shd w:val="clear" w:color="auto" w:fill="auto"/>
            <w:vAlign w:val="center"/>
          </w:tcPr>
          <w:p w:rsidR="00BE570C" w:rsidRPr="00EF3186" w:rsidRDefault="00BE570C" w:rsidP="002A7B28">
            <w:pPr>
              <w:spacing w:after="120"/>
              <w:contextualSpacing/>
              <w:jc w:val="center"/>
              <w:rPr>
                <w:rFonts w:cs="Times New Roman"/>
                <w:b/>
                <w:bCs/>
                <w:sz w:val="20"/>
                <w:szCs w:val="20"/>
              </w:rPr>
            </w:pPr>
            <w:r w:rsidRPr="00540C2F">
              <w:rPr>
                <w:rFonts w:cs="Times New Roman"/>
                <w:b/>
                <w:bCs/>
                <w:sz w:val="20"/>
                <w:szCs w:val="20"/>
              </w:rPr>
              <w:t>N for TP</w:t>
            </w:r>
          </w:p>
        </w:tc>
        <w:tc>
          <w:tcPr>
            <w:tcW w:w="732" w:type="pct"/>
            <w:tcBorders>
              <w:top w:val="nil"/>
              <w:left w:val="nil"/>
              <w:bottom w:val="nil"/>
              <w:right w:val="nil"/>
            </w:tcBorders>
            <w:shd w:val="clear" w:color="auto" w:fill="auto"/>
            <w:vAlign w:val="center"/>
          </w:tcPr>
          <w:p w:rsidR="00BE570C" w:rsidRPr="00C33190" w:rsidRDefault="00BE570C" w:rsidP="00933EBB">
            <w:pPr>
              <w:spacing w:after="120"/>
              <w:contextualSpacing/>
              <w:jc w:val="center"/>
              <w:rPr>
                <w:rFonts w:cs="Times New Roman"/>
                <w:sz w:val="18"/>
                <w:szCs w:val="18"/>
              </w:rPr>
            </w:pPr>
            <w:r w:rsidRPr="00C33190">
              <w:rPr>
                <w:rFonts w:cs="Times New Roman"/>
                <w:sz w:val="18"/>
                <w:szCs w:val="18"/>
              </w:rPr>
              <w:t>P3 = 2</w:t>
            </w:r>
            <w:r w:rsidR="004E50E5">
              <w:rPr>
                <w:rFonts w:cs="Times New Roman"/>
                <w:sz w:val="18"/>
                <w:szCs w:val="18"/>
              </w:rPr>
              <w:t>0</w:t>
            </w:r>
            <w:r w:rsidR="00933EBB">
              <w:rPr>
                <w:rFonts w:cs="Times New Roman"/>
                <w:sz w:val="18"/>
                <w:szCs w:val="18"/>
              </w:rPr>
              <w:t>8</w:t>
            </w:r>
          </w:p>
        </w:tc>
        <w:tc>
          <w:tcPr>
            <w:tcW w:w="687" w:type="pct"/>
            <w:tcBorders>
              <w:top w:val="nil"/>
              <w:left w:val="nil"/>
              <w:bottom w:val="nil"/>
              <w:right w:val="nil"/>
            </w:tcBorders>
            <w:shd w:val="clear" w:color="auto" w:fill="auto"/>
            <w:vAlign w:val="center"/>
          </w:tcPr>
          <w:p w:rsidR="00BE570C" w:rsidRPr="00C33190" w:rsidRDefault="00074E28" w:rsidP="00074E28">
            <w:pPr>
              <w:spacing w:after="120"/>
              <w:contextualSpacing/>
              <w:jc w:val="center"/>
              <w:rPr>
                <w:rFonts w:cs="Times New Roman"/>
                <w:sz w:val="18"/>
                <w:szCs w:val="18"/>
              </w:rPr>
            </w:pPr>
            <w:r>
              <w:rPr>
                <w:rFonts w:cs="Times New Roman"/>
                <w:sz w:val="18"/>
                <w:szCs w:val="18"/>
              </w:rPr>
              <w:t>199</w:t>
            </w:r>
          </w:p>
        </w:tc>
        <w:tc>
          <w:tcPr>
            <w:tcW w:w="802" w:type="pct"/>
            <w:tcBorders>
              <w:top w:val="nil"/>
              <w:left w:val="nil"/>
              <w:bottom w:val="nil"/>
              <w:right w:val="nil"/>
            </w:tcBorders>
            <w:shd w:val="clear" w:color="auto" w:fill="auto"/>
            <w:vAlign w:val="center"/>
          </w:tcPr>
          <w:p w:rsidR="00BE570C" w:rsidRPr="00C33190" w:rsidRDefault="00BE570C" w:rsidP="00731225">
            <w:pPr>
              <w:spacing w:after="120"/>
              <w:contextualSpacing/>
              <w:jc w:val="center"/>
              <w:rPr>
                <w:rFonts w:cs="Times New Roman"/>
                <w:sz w:val="18"/>
                <w:szCs w:val="18"/>
              </w:rPr>
            </w:pPr>
            <w:r w:rsidRPr="00C33190">
              <w:rPr>
                <w:rFonts w:cs="Times New Roman"/>
                <w:sz w:val="18"/>
                <w:szCs w:val="18"/>
              </w:rPr>
              <w:t>1</w:t>
            </w:r>
            <w:r w:rsidR="00731225">
              <w:rPr>
                <w:rFonts w:cs="Times New Roman"/>
                <w:sz w:val="18"/>
                <w:szCs w:val="18"/>
              </w:rPr>
              <w:t>75</w:t>
            </w:r>
          </w:p>
        </w:tc>
        <w:tc>
          <w:tcPr>
            <w:tcW w:w="688" w:type="pct"/>
            <w:tcBorders>
              <w:top w:val="nil"/>
              <w:left w:val="nil"/>
              <w:bottom w:val="nil"/>
              <w:right w:val="nil"/>
            </w:tcBorders>
            <w:shd w:val="clear" w:color="auto" w:fill="auto"/>
            <w:vAlign w:val="center"/>
          </w:tcPr>
          <w:p w:rsidR="00BE570C" w:rsidRPr="00C33190" w:rsidRDefault="00BE570C" w:rsidP="00854E6F">
            <w:pPr>
              <w:spacing w:after="120"/>
              <w:contextualSpacing/>
              <w:jc w:val="center"/>
              <w:rPr>
                <w:rFonts w:cs="Times New Roman"/>
                <w:sz w:val="18"/>
                <w:szCs w:val="18"/>
              </w:rPr>
            </w:pPr>
            <w:r w:rsidRPr="00C33190">
              <w:rPr>
                <w:rFonts w:cs="Times New Roman"/>
                <w:sz w:val="18"/>
                <w:szCs w:val="18"/>
              </w:rPr>
              <w:t>1</w:t>
            </w:r>
            <w:r w:rsidR="00731225">
              <w:rPr>
                <w:rFonts w:cs="Times New Roman"/>
                <w:sz w:val="18"/>
                <w:szCs w:val="18"/>
              </w:rPr>
              <w:t>5</w:t>
            </w:r>
            <w:r w:rsidR="00854E6F">
              <w:rPr>
                <w:rFonts w:cs="Times New Roman"/>
                <w:sz w:val="18"/>
                <w:szCs w:val="18"/>
              </w:rPr>
              <w:t>6</w:t>
            </w:r>
          </w:p>
        </w:tc>
        <w:tc>
          <w:tcPr>
            <w:tcW w:w="703" w:type="pct"/>
            <w:tcBorders>
              <w:top w:val="nil"/>
              <w:left w:val="nil"/>
              <w:bottom w:val="nil"/>
              <w:right w:val="nil"/>
            </w:tcBorders>
            <w:shd w:val="clear" w:color="auto" w:fill="auto"/>
            <w:vAlign w:val="center"/>
          </w:tcPr>
          <w:p w:rsidR="00BE570C" w:rsidRPr="00C33190" w:rsidRDefault="00BE570C" w:rsidP="00854E6F">
            <w:pPr>
              <w:spacing w:after="120"/>
              <w:contextualSpacing/>
              <w:jc w:val="center"/>
              <w:rPr>
                <w:rFonts w:cs="Times New Roman"/>
                <w:sz w:val="18"/>
                <w:szCs w:val="18"/>
              </w:rPr>
            </w:pPr>
            <w:r w:rsidRPr="00C33190">
              <w:rPr>
                <w:rFonts w:cs="Times New Roman"/>
                <w:sz w:val="18"/>
                <w:szCs w:val="18"/>
              </w:rPr>
              <w:t>1</w:t>
            </w:r>
            <w:r w:rsidR="00854E6F">
              <w:rPr>
                <w:rFonts w:cs="Times New Roman"/>
                <w:sz w:val="18"/>
                <w:szCs w:val="18"/>
              </w:rPr>
              <w:t>29</w:t>
            </w:r>
          </w:p>
        </w:tc>
        <w:tc>
          <w:tcPr>
            <w:tcW w:w="671" w:type="pct"/>
            <w:tcBorders>
              <w:top w:val="nil"/>
              <w:left w:val="nil"/>
              <w:bottom w:val="nil"/>
              <w:right w:val="nil"/>
            </w:tcBorders>
            <w:shd w:val="clear" w:color="auto" w:fill="auto"/>
            <w:vAlign w:val="center"/>
          </w:tcPr>
          <w:p w:rsidR="00BE570C" w:rsidRPr="00C33190" w:rsidRDefault="00BE570C" w:rsidP="00AD7123">
            <w:pPr>
              <w:spacing w:after="120"/>
              <w:contextualSpacing/>
              <w:jc w:val="center"/>
              <w:rPr>
                <w:rFonts w:cs="Times New Roman"/>
                <w:sz w:val="18"/>
                <w:szCs w:val="18"/>
              </w:rPr>
            </w:pPr>
            <w:r w:rsidRPr="00C33190">
              <w:rPr>
                <w:rFonts w:cs="Times New Roman"/>
                <w:sz w:val="18"/>
                <w:szCs w:val="18"/>
              </w:rPr>
              <w:t>7</w:t>
            </w:r>
            <w:r w:rsidR="00AD7123">
              <w:rPr>
                <w:rFonts w:cs="Times New Roman"/>
                <w:sz w:val="18"/>
                <w:szCs w:val="18"/>
              </w:rPr>
              <w:t>6</w:t>
            </w:r>
          </w:p>
        </w:tc>
      </w:tr>
      <w:tr w:rsidR="00AD7123" w:rsidRPr="00EF3186" w:rsidTr="00BE570C">
        <w:trPr>
          <w:trHeight w:val="320"/>
          <w:jc w:val="center"/>
        </w:trPr>
        <w:tc>
          <w:tcPr>
            <w:tcW w:w="716" w:type="pct"/>
            <w:vMerge/>
            <w:tcBorders>
              <w:top w:val="nil"/>
              <w:left w:val="nil"/>
              <w:bottom w:val="single" w:sz="8" w:space="0" w:color="000000"/>
              <w:right w:val="nil"/>
            </w:tcBorders>
            <w:shd w:val="clear" w:color="auto" w:fill="auto"/>
            <w:vAlign w:val="center"/>
          </w:tcPr>
          <w:p w:rsidR="00BE570C" w:rsidRPr="00EF3186" w:rsidRDefault="00BE570C" w:rsidP="002A7B28">
            <w:pPr>
              <w:spacing w:after="120"/>
              <w:contextualSpacing/>
              <w:rPr>
                <w:rFonts w:cs="Times New Roman"/>
                <w:b/>
                <w:bCs/>
                <w:sz w:val="20"/>
                <w:szCs w:val="20"/>
              </w:rPr>
            </w:pPr>
          </w:p>
        </w:tc>
        <w:tc>
          <w:tcPr>
            <w:tcW w:w="732" w:type="pct"/>
            <w:tcBorders>
              <w:top w:val="nil"/>
              <w:left w:val="nil"/>
              <w:bottom w:val="single" w:sz="8" w:space="0" w:color="000000"/>
              <w:right w:val="nil"/>
            </w:tcBorders>
            <w:shd w:val="clear" w:color="auto" w:fill="auto"/>
            <w:vAlign w:val="center"/>
          </w:tcPr>
          <w:p w:rsidR="00BE570C" w:rsidRPr="00C33190" w:rsidRDefault="00BE570C" w:rsidP="00074E28">
            <w:pPr>
              <w:spacing w:after="120"/>
              <w:contextualSpacing/>
              <w:jc w:val="center"/>
              <w:rPr>
                <w:rFonts w:cs="Times New Roman"/>
                <w:sz w:val="18"/>
                <w:szCs w:val="18"/>
              </w:rPr>
            </w:pPr>
            <w:r w:rsidRPr="00C33190">
              <w:rPr>
                <w:rFonts w:cs="Times New Roman"/>
                <w:sz w:val="18"/>
                <w:szCs w:val="18"/>
              </w:rPr>
              <w:t>P4 = 4</w:t>
            </w:r>
            <w:r w:rsidR="00074E28">
              <w:rPr>
                <w:rFonts w:cs="Times New Roman"/>
                <w:sz w:val="18"/>
                <w:szCs w:val="18"/>
              </w:rPr>
              <w:t>4</w:t>
            </w:r>
          </w:p>
        </w:tc>
        <w:tc>
          <w:tcPr>
            <w:tcW w:w="687" w:type="pct"/>
            <w:tcBorders>
              <w:top w:val="nil"/>
              <w:left w:val="nil"/>
              <w:bottom w:val="single" w:sz="8" w:space="0" w:color="000000"/>
              <w:right w:val="nil"/>
            </w:tcBorders>
            <w:shd w:val="clear" w:color="auto" w:fill="auto"/>
            <w:vAlign w:val="center"/>
          </w:tcPr>
          <w:p w:rsidR="00BE570C" w:rsidRPr="00C33190" w:rsidRDefault="00BE570C" w:rsidP="00074E28">
            <w:pPr>
              <w:spacing w:after="120"/>
              <w:contextualSpacing/>
              <w:jc w:val="center"/>
              <w:rPr>
                <w:rFonts w:cs="Times New Roman"/>
                <w:sz w:val="18"/>
                <w:szCs w:val="18"/>
              </w:rPr>
            </w:pPr>
            <w:r w:rsidRPr="00C33190">
              <w:rPr>
                <w:rFonts w:cs="Times New Roman"/>
                <w:sz w:val="18"/>
                <w:szCs w:val="18"/>
              </w:rPr>
              <w:t>4</w:t>
            </w:r>
            <w:r w:rsidR="00074E28">
              <w:rPr>
                <w:rFonts w:cs="Times New Roman"/>
                <w:sz w:val="18"/>
                <w:szCs w:val="18"/>
              </w:rPr>
              <w:t>2</w:t>
            </w:r>
          </w:p>
        </w:tc>
        <w:tc>
          <w:tcPr>
            <w:tcW w:w="802" w:type="pct"/>
            <w:tcBorders>
              <w:top w:val="nil"/>
              <w:left w:val="nil"/>
              <w:bottom w:val="single" w:sz="8" w:space="0" w:color="000000"/>
              <w:right w:val="nil"/>
            </w:tcBorders>
            <w:shd w:val="clear" w:color="auto" w:fill="auto"/>
            <w:vAlign w:val="center"/>
          </w:tcPr>
          <w:p w:rsidR="00BE570C" w:rsidRPr="00C33190" w:rsidRDefault="00BE570C" w:rsidP="00731225">
            <w:pPr>
              <w:spacing w:after="120"/>
              <w:contextualSpacing/>
              <w:jc w:val="center"/>
              <w:rPr>
                <w:rFonts w:cs="Times New Roman"/>
                <w:sz w:val="18"/>
                <w:szCs w:val="18"/>
              </w:rPr>
            </w:pPr>
            <w:r w:rsidRPr="00C33190">
              <w:rPr>
                <w:rFonts w:cs="Times New Roman"/>
                <w:sz w:val="18"/>
                <w:szCs w:val="18"/>
              </w:rPr>
              <w:t>4</w:t>
            </w:r>
            <w:r w:rsidR="00731225">
              <w:rPr>
                <w:rFonts w:cs="Times New Roman"/>
                <w:sz w:val="18"/>
                <w:szCs w:val="18"/>
              </w:rPr>
              <w:t>1</w:t>
            </w:r>
          </w:p>
        </w:tc>
        <w:tc>
          <w:tcPr>
            <w:tcW w:w="688" w:type="pct"/>
            <w:tcBorders>
              <w:top w:val="nil"/>
              <w:left w:val="nil"/>
              <w:bottom w:val="single" w:sz="8" w:space="0" w:color="000000"/>
              <w:right w:val="nil"/>
            </w:tcBorders>
            <w:shd w:val="clear" w:color="auto" w:fill="auto"/>
            <w:vAlign w:val="center"/>
          </w:tcPr>
          <w:p w:rsidR="00BE570C" w:rsidRPr="00C33190" w:rsidRDefault="00BE570C" w:rsidP="00731225">
            <w:pPr>
              <w:spacing w:after="120"/>
              <w:contextualSpacing/>
              <w:jc w:val="center"/>
              <w:rPr>
                <w:rFonts w:cs="Times New Roman"/>
                <w:sz w:val="18"/>
                <w:szCs w:val="18"/>
              </w:rPr>
            </w:pPr>
            <w:r w:rsidRPr="00C33190">
              <w:rPr>
                <w:rFonts w:cs="Times New Roman"/>
                <w:sz w:val="18"/>
                <w:szCs w:val="18"/>
              </w:rPr>
              <w:t>4</w:t>
            </w:r>
            <w:r w:rsidR="00731225">
              <w:rPr>
                <w:rFonts w:cs="Times New Roman"/>
                <w:sz w:val="18"/>
                <w:szCs w:val="18"/>
              </w:rPr>
              <w:t>0</w:t>
            </w:r>
          </w:p>
        </w:tc>
        <w:tc>
          <w:tcPr>
            <w:tcW w:w="703" w:type="pct"/>
            <w:tcBorders>
              <w:top w:val="nil"/>
              <w:left w:val="nil"/>
              <w:bottom w:val="single" w:sz="8" w:space="0" w:color="000000"/>
              <w:right w:val="nil"/>
            </w:tcBorders>
            <w:shd w:val="clear" w:color="auto" w:fill="auto"/>
            <w:vAlign w:val="center"/>
          </w:tcPr>
          <w:p w:rsidR="00BE570C" w:rsidRPr="00C33190" w:rsidRDefault="00BE570C" w:rsidP="00854E6F">
            <w:pPr>
              <w:spacing w:after="120"/>
              <w:contextualSpacing/>
              <w:jc w:val="center"/>
              <w:rPr>
                <w:rFonts w:cs="Times New Roman"/>
                <w:sz w:val="18"/>
                <w:szCs w:val="18"/>
              </w:rPr>
            </w:pPr>
            <w:r w:rsidRPr="00C33190">
              <w:rPr>
                <w:rFonts w:cs="Times New Roman"/>
                <w:sz w:val="18"/>
                <w:szCs w:val="18"/>
              </w:rPr>
              <w:t>3</w:t>
            </w:r>
            <w:r w:rsidR="00854E6F">
              <w:rPr>
                <w:rFonts w:cs="Times New Roman"/>
                <w:sz w:val="18"/>
                <w:szCs w:val="18"/>
              </w:rPr>
              <w:t>5</w:t>
            </w:r>
          </w:p>
        </w:tc>
        <w:tc>
          <w:tcPr>
            <w:tcW w:w="671" w:type="pct"/>
            <w:tcBorders>
              <w:top w:val="nil"/>
              <w:left w:val="nil"/>
              <w:bottom w:val="single" w:sz="8" w:space="0" w:color="000000"/>
              <w:right w:val="nil"/>
            </w:tcBorders>
            <w:shd w:val="clear" w:color="auto" w:fill="auto"/>
            <w:vAlign w:val="center"/>
          </w:tcPr>
          <w:p w:rsidR="00BE570C" w:rsidRDefault="00AD7123" w:rsidP="00AD7123">
            <w:pPr>
              <w:spacing w:after="120"/>
              <w:contextualSpacing/>
              <w:jc w:val="center"/>
              <w:rPr>
                <w:rFonts w:cs="Times New Roman"/>
                <w:sz w:val="18"/>
                <w:szCs w:val="18"/>
              </w:rPr>
            </w:pPr>
            <w:r>
              <w:rPr>
                <w:rFonts w:cs="Times New Roman"/>
                <w:sz w:val="18"/>
                <w:szCs w:val="18"/>
              </w:rPr>
              <w:t>29</w:t>
            </w:r>
          </w:p>
        </w:tc>
      </w:tr>
    </w:tbl>
    <w:p w:rsidR="003D20FE" w:rsidRDefault="003D20FE">
      <w:pPr>
        <w:spacing w:after="200" w:line="276" w:lineRule="auto"/>
        <w:rPr>
          <w:rFonts w:eastAsiaTheme="majorEastAsia" w:cstheme="majorBidi"/>
          <w:b/>
          <w:bCs/>
        </w:rPr>
      </w:pPr>
    </w:p>
    <w:p w:rsidR="003D20FE" w:rsidRDefault="000C2F42" w:rsidP="000C2F42">
      <w:pPr>
        <w:spacing w:after="120"/>
        <w:rPr>
          <w:rFonts w:cs="Times New Roman"/>
        </w:rPr>
      </w:pPr>
      <w:r w:rsidRPr="000C2F42">
        <w:rPr>
          <w:i/>
          <w:u w:val="single"/>
        </w:rPr>
        <w:t>Mid-Week Sub-Sampled Statistical Compariso</w:t>
      </w:r>
      <w:r>
        <w:rPr>
          <w:i/>
          <w:u w:val="single"/>
        </w:rPr>
        <w:t>n</w:t>
      </w:r>
      <w:r w:rsidRPr="00B91F69">
        <w:rPr>
          <w:i/>
        </w:rPr>
        <w:t>:</w:t>
      </w:r>
      <w:r>
        <w:rPr>
          <w:rFonts w:cs="Times New Roman"/>
        </w:rPr>
        <w:t xml:space="preserve">  </w:t>
      </w:r>
      <w:r w:rsidR="003D20FE" w:rsidRPr="00B12B4E">
        <w:rPr>
          <w:rFonts w:cs="Times New Roman"/>
        </w:rPr>
        <w:t xml:space="preserve">When sampling frequency is relatively high, serial correlation amongst samples from hydrologic data such as the Duck Creek data set can pose problems because the samples are not likely to be independent of one another; thereby, violating a key assumption of most statistical tests.  The Durbin-Watson test is a common method used to check a model for serial correlation (Draper and Smith, 1998).  </w:t>
      </w:r>
      <w:r w:rsidR="003D20FE" w:rsidRPr="006E1DC6">
        <w:rPr>
          <w:rFonts w:cs="Times New Roman"/>
        </w:rPr>
        <w:t xml:space="preserve">The Durbin-Watson statistic was significant for all of the aforementioned regression models indicating that some degree of serial correlation is influencing the results.  However the 1st order autocorrelation values were moderate rather than strong for the </w:t>
      </w:r>
      <w:r w:rsidR="006E1DC6" w:rsidRPr="006E1DC6">
        <w:rPr>
          <w:rFonts w:cs="Times New Roman"/>
        </w:rPr>
        <w:t xml:space="preserve">LN_TSS (0.350), </w:t>
      </w:r>
      <w:r w:rsidR="003D20FE" w:rsidRPr="006E1DC6">
        <w:rPr>
          <w:rFonts w:cs="Times New Roman"/>
        </w:rPr>
        <w:t>LN_TP (0.</w:t>
      </w:r>
      <w:r w:rsidR="006E1DC6" w:rsidRPr="006E1DC6">
        <w:rPr>
          <w:rFonts w:cs="Times New Roman"/>
        </w:rPr>
        <w:t>399</w:t>
      </w:r>
      <w:r w:rsidR="003D20FE" w:rsidRPr="006E1DC6">
        <w:rPr>
          <w:rFonts w:cs="Times New Roman"/>
        </w:rPr>
        <w:t>) and LN_DP (0.</w:t>
      </w:r>
      <w:r w:rsidR="006E1DC6" w:rsidRPr="006E1DC6">
        <w:rPr>
          <w:rFonts w:cs="Times New Roman"/>
        </w:rPr>
        <w:t>322</w:t>
      </w:r>
      <w:r w:rsidR="003D20FE" w:rsidRPr="006E1DC6">
        <w:rPr>
          <w:rFonts w:cs="Times New Roman"/>
        </w:rPr>
        <w:t>) regression models</w:t>
      </w:r>
      <w:r w:rsidR="00400DF0">
        <w:rPr>
          <w:rFonts w:cs="Times New Roman"/>
        </w:rPr>
        <w:t xml:space="preserve"> that were applied over the WY2004-2013 record</w:t>
      </w:r>
      <w:r w:rsidR="003D20FE" w:rsidRPr="006E1DC6">
        <w:rPr>
          <w:rFonts w:cs="Times New Roman"/>
        </w:rPr>
        <w:t>, suggesting that the highly significant regression models may still be valid</w:t>
      </w:r>
      <w:r w:rsidR="00F825AA" w:rsidRPr="006E1DC6">
        <w:rPr>
          <w:rFonts w:cs="Times New Roman"/>
        </w:rPr>
        <w:t>.</w:t>
      </w:r>
    </w:p>
    <w:p w:rsidR="00E7506D" w:rsidRDefault="003D20FE" w:rsidP="003D20FE">
      <w:pPr>
        <w:spacing w:after="120"/>
        <w:ind w:firstLine="720"/>
        <w:rPr>
          <w:rFonts w:cs="Times New Roman"/>
        </w:rPr>
      </w:pPr>
      <w:r w:rsidRPr="00B12B4E">
        <w:rPr>
          <w:rFonts w:cs="Times New Roman"/>
        </w:rPr>
        <w:t>To reduce potential serial correlation to a minimum, the full data set was sub-sampled on</w:t>
      </w:r>
      <w:r w:rsidR="00235B79">
        <w:rPr>
          <w:rFonts w:cs="Times New Roman"/>
        </w:rPr>
        <w:t xml:space="preserve"> a once/week basis whereby only the </w:t>
      </w:r>
      <w:r w:rsidRPr="00B12B4E">
        <w:rPr>
          <w:rFonts w:cs="Times New Roman"/>
        </w:rPr>
        <w:t xml:space="preserve">sample collected closest to the middle of each week was retained for further statistical </w:t>
      </w:r>
      <w:r w:rsidRPr="008760BE">
        <w:rPr>
          <w:rFonts w:cs="Times New Roman"/>
        </w:rPr>
        <w:t xml:space="preserve">analysis.  </w:t>
      </w:r>
      <w:r w:rsidR="00400DF0" w:rsidRPr="008760BE">
        <w:rPr>
          <w:rFonts w:cs="Times New Roman"/>
        </w:rPr>
        <w:t>On the once/week data</w:t>
      </w:r>
      <w:r w:rsidR="008760BE">
        <w:rPr>
          <w:rFonts w:cs="Times New Roman"/>
        </w:rPr>
        <w:t xml:space="preserve"> set</w:t>
      </w:r>
      <w:r w:rsidR="00400DF0" w:rsidRPr="008760BE">
        <w:rPr>
          <w:rFonts w:cs="Times New Roman"/>
        </w:rPr>
        <w:t>, the Durbin-Watson statistic was still significant for all of the aforementioned regression models</w:t>
      </w:r>
      <w:r w:rsidR="008760BE">
        <w:rPr>
          <w:rFonts w:cs="Times New Roman"/>
        </w:rPr>
        <w:t>.  H</w:t>
      </w:r>
      <w:r w:rsidR="00A1759A" w:rsidRPr="008760BE">
        <w:rPr>
          <w:rFonts w:cs="Times New Roman"/>
        </w:rPr>
        <w:t xml:space="preserve">owever, </w:t>
      </w:r>
      <w:r w:rsidR="00400DF0" w:rsidRPr="008760BE">
        <w:rPr>
          <w:rFonts w:cs="Times New Roman"/>
        </w:rPr>
        <w:t xml:space="preserve">the 1st order autocorrelation values were </w:t>
      </w:r>
      <w:r w:rsidR="008760BE">
        <w:rPr>
          <w:rFonts w:cs="Times New Roman"/>
        </w:rPr>
        <w:t>less</w:t>
      </w:r>
      <w:r w:rsidR="002F14A0">
        <w:rPr>
          <w:rFonts w:cs="Times New Roman"/>
        </w:rPr>
        <w:t>e</w:t>
      </w:r>
      <w:r w:rsidR="008760BE">
        <w:rPr>
          <w:rFonts w:cs="Times New Roman"/>
        </w:rPr>
        <w:t>ned</w:t>
      </w:r>
      <w:r w:rsidR="0041109C">
        <w:rPr>
          <w:rFonts w:cs="Times New Roman"/>
        </w:rPr>
        <w:t xml:space="preserve"> by sub-sampling</w:t>
      </w:r>
      <w:r w:rsidR="00235B79">
        <w:rPr>
          <w:rFonts w:cs="Times New Roman"/>
        </w:rPr>
        <w:t xml:space="preserve"> as follows</w:t>
      </w:r>
      <w:r w:rsidR="008760BE">
        <w:rPr>
          <w:rFonts w:cs="Times New Roman"/>
        </w:rPr>
        <w:t>:</w:t>
      </w:r>
      <w:r w:rsidR="00400DF0" w:rsidRPr="008760BE">
        <w:rPr>
          <w:rFonts w:cs="Times New Roman"/>
        </w:rPr>
        <w:t xml:space="preserve"> LN_TSS (0.211), LN_TP (0.281) and LN_DP (0.261).  </w:t>
      </w:r>
    </w:p>
    <w:p w:rsidR="00E7506D" w:rsidRDefault="00E7506D">
      <w:pPr>
        <w:spacing w:after="200" w:line="276" w:lineRule="auto"/>
        <w:rPr>
          <w:rFonts w:cs="Times New Roman"/>
        </w:rPr>
      </w:pPr>
      <w:r>
        <w:rPr>
          <w:rFonts w:cs="Times New Roman"/>
        </w:rPr>
        <w:br w:type="page"/>
      </w:r>
    </w:p>
    <w:p w:rsidR="0041109C" w:rsidRDefault="0041109C" w:rsidP="0041109C">
      <w:pPr>
        <w:spacing w:after="120"/>
        <w:ind w:firstLine="720"/>
        <w:rPr>
          <w:rFonts w:cs="Times New Roman"/>
        </w:rPr>
      </w:pPr>
      <w:r w:rsidRPr="00B12B4E">
        <w:rPr>
          <w:rFonts w:cs="Times New Roman"/>
        </w:rPr>
        <w:lastRenderedPageBreak/>
        <w:t xml:space="preserve">Regression analysis was </w:t>
      </w:r>
      <w:r>
        <w:rPr>
          <w:rFonts w:cs="Times New Roman"/>
        </w:rPr>
        <w:t xml:space="preserve">then </w:t>
      </w:r>
      <w:r w:rsidRPr="00B12B4E">
        <w:rPr>
          <w:rFonts w:cs="Times New Roman"/>
        </w:rPr>
        <w:t xml:space="preserve">performed </w:t>
      </w:r>
      <w:r>
        <w:rPr>
          <w:rFonts w:cs="Times New Roman"/>
        </w:rPr>
        <w:t>on the</w:t>
      </w:r>
      <w:r w:rsidRPr="00B12B4E">
        <w:rPr>
          <w:rFonts w:cs="Times New Roman"/>
        </w:rPr>
        <w:t xml:space="preserve"> weekly sub-sampled data set with the same five parameter regression model that was used earlier.  Decimal time was </w:t>
      </w:r>
      <w:r>
        <w:rPr>
          <w:rFonts w:cs="Times New Roman"/>
        </w:rPr>
        <w:t xml:space="preserve">still </w:t>
      </w:r>
      <w:r w:rsidRPr="00B12B4E">
        <w:rPr>
          <w:rFonts w:cs="Times New Roman"/>
        </w:rPr>
        <w:t xml:space="preserve">a significant explanatory variable for log-transformed </w:t>
      </w:r>
      <w:r>
        <w:rPr>
          <w:rFonts w:cs="Times New Roman"/>
        </w:rPr>
        <w:t>TSS and T</w:t>
      </w:r>
      <w:r w:rsidRPr="00B12B4E">
        <w:rPr>
          <w:rFonts w:cs="Times New Roman"/>
        </w:rPr>
        <w:t>P during the USGS WY 2004 to 2013 period: p = 0.0</w:t>
      </w:r>
      <w:r>
        <w:rPr>
          <w:rFonts w:cs="Times New Roman"/>
        </w:rPr>
        <w:t xml:space="preserve">359 and </w:t>
      </w:r>
      <w:r w:rsidRPr="00B12B4E">
        <w:rPr>
          <w:rFonts w:cs="Times New Roman"/>
        </w:rPr>
        <w:t>0.0</w:t>
      </w:r>
      <w:r>
        <w:rPr>
          <w:rFonts w:cs="Times New Roman"/>
        </w:rPr>
        <w:t>096, resp</w:t>
      </w:r>
      <w:r w:rsidRPr="00B12B4E">
        <w:rPr>
          <w:rFonts w:cs="Times New Roman"/>
        </w:rPr>
        <w:t>ectively (n = 1</w:t>
      </w:r>
      <w:r>
        <w:rPr>
          <w:rFonts w:cs="Times New Roman"/>
        </w:rPr>
        <w:t>48</w:t>
      </w:r>
      <w:r w:rsidRPr="00B12B4E">
        <w:rPr>
          <w:rFonts w:cs="Times New Roman"/>
        </w:rPr>
        <w:t xml:space="preserve"> samples</w:t>
      </w:r>
      <w:r>
        <w:rPr>
          <w:rFonts w:cs="Times New Roman"/>
        </w:rPr>
        <w:t xml:space="preserve">; outliers excluded, but WY2008-2010 included for this data set).  </w:t>
      </w:r>
      <w:r w:rsidRPr="00B12B4E">
        <w:rPr>
          <w:rFonts w:cs="Times New Roman"/>
        </w:rPr>
        <w:t xml:space="preserve">The slope for decimal time was </w:t>
      </w:r>
      <w:bookmarkStart w:id="20" w:name="OLE_LINK10"/>
      <w:r w:rsidRPr="00B12B4E">
        <w:rPr>
          <w:rFonts w:cs="Times New Roman"/>
        </w:rPr>
        <w:t>-</w:t>
      </w:r>
      <w:r>
        <w:rPr>
          <w:rFonts w:cs="Times New Roman"/>
        </w:rPr>
        <w:t>0</w:t>
      </w:r>
      <w:r w:rsidRPr="00B12B4E">
        <w:rPr>
          <w:rFonts w:cs="Times New Roman"/>
        </w:rPr>
        <w:t>.04</w:t>
      </w:r>
      <w:r>
        <w:rPr>
          <w:rFonts w:cs="Times New Roman"/>
        </w:rPr>
        <w:t>089</w:t>
      </w:r>
      <w:r w:rsidRPr="00B12B4E">
        <w:rPr>
          <w:rFonts w:cs="Times New Roman"/>
        </w:rPr>
        <w:t xml:space="preserve"> </w:t>
      </w:r>
      <w:bookmarkEnd w:id="20"/>
      <w:r w:rsidRPr="00B12B4E">
        <w:rPr>
          <w:rFonts w:cs="Times New Roman"/>
        </w:rPr>
        <w:t xml:space="preserve">for TSS and </w:t>
      </w:r>
      <w:bookmarkStart w:id="21" w:name="OLE_LINK11"/>
      <w:r w:rsidRPr="00B12B4E">
        <w:rPr>
          <w:rFonts w:cs="Times New Roman"/>
        </w:rPr>
        <w:t>- 0.0</w:t>
      </w:r>
      <w:r>
        <w:rPr>
          <w:rFonts w:cs="Times New Roman"/>
        </w:rPr>
        <w:t>4342</w:t>
      </w:r>
      <w:r w:rsidRPr="00B12B4E">
        <w:rPr>
          <w:rFonts w:cs="Times New Roman"/>
        </w:rPr>
        <w:t xml:space="preserve"> </w:t>
      </w:r>
      <w:bookmarkEnd w:id="21"/>
      <w:r w:rsidRPr="00B12B4E">
        <w:rPr>
          <w:rFonts w:cs="Times New Roman"/>
        </w:rPr>
        <w:t>for TP, which is roughly equivalent to a decrease</w:t>
      </w:r>
      <w:r w:rsidRPr="000B5FD0">
        <w:rPr>
          <w:rFonts w:cs="Times New Roman"/>
        </w:rPr>
        <w:t xml:space="preserve"> of 4.0 and 4.</w:t>
      </w:r>
      <w:r>
        <w:rPr>
          <w:rFonts w:cs="Times New Roman"/>
        </w:rPr>
        <w:t>2</w:t>
      </w:r>
      <w:r w:rsidRPr="000B5FD0">
        <w:rPr>
          <w:rFonts w:cs="Times New Roman"/>
        </w:rPr>
        <w:t>% p</w:t>
      </w:r>
      <w:r w:rsidRPr="00B12B4E">
        <w:rPr>
          <w:rFonts w:cs="Times New Roman"/>
        </w:rPr>
        <w:t>er year, respectively over the 2004 to 2013 period.</w:t>
      </w:r>
      <w:r w:rsidR="00B91F69">
        <w:rPr>
          <w:rFonts w:cs="Times New Roman"/>
        </w:rPr>
        <w:t xml:space="preserve"> </w:t>
      </w:r>
      <w:r w:rsidRPr="00B12B4E">
        <w:rPr>
          <w:rFonts w:cs="Times New Roman"/>
        </w:rPr>
        <w:t xml:space="preserve"> Overall F value for the LN_TSS model was </w:t>
      </w:r>
      <w:r>
        <w:rPr>
          <w:rFonts w:cs="Times New Roman"/>
        </w:rPr>
        <w:t>46.08</w:t>
      </w:r>
      <w:r w:rsidRPr="00B12B4E">
        <w:rPr>
          <w:rFonts w:cs="Times New Roman"/>
        </w:rPr>
        <w:t xml:space="preserve"> (p &lt; 0.0001), and the adjusted R-square was 0.</w:t>
      </w:r>
      <w:r>
        <w:rPr>
          <w:rFonts w:cs="Times New Roman"/>
        </w:rPr>
        <w:t>605</w:t>
      </w:r>
      <w:r w:rsidRPr="00B12B4E">
        <w:rPr>
          <w:rFonts w:cs="Times New Roman"/>
        </w:rPr>
        <w:t>.  Overall F value for the LN_TP model was 1</w:t>
      </w:r>
      <w:r>
        <w:rPr>
          <w:rFonts w:cs="Times New Roman"/>
        </w:rPr>
        <w:t>2</w:t>
      </w:r>
      <w:r w:rsidRPr="00B12B4E">
        <w:rPr>
          <w:rFonts w:cs="Times New Roman"/>
        </w:rPr>
        <w:t>.</w:t>
      </w:r>
      <w:r>
        <w:rPr>
          <w:rFonts w:cs="Times New Roman"/>
        </w:rPr>
        <w:t>1</w:t>
      </w:r>
      <w:r w:rsidRPr="00B12B4E">
        <w:rPr>
          <w:rFonts w:cs="Times New Roman"/>
        </w:rPr>
        <w:t xml:space="preserve"> (p &lt; 0.0001), and the adjusted R-square was 0.2</w:t>
      </w:r>
      <w:r>
        <w:rPr>
          <w:rFonts w:cs="Times New Roman"/>
        </w:rPr>
        <w:t>73</w:t>
      </w:r>
      <w:r w:rsidRPr="00B12B4E">
        <w:rPr>
          <w:rFonts w:cs="Times New Roman"/>
        </w:rPr>
        <w:t xml:space="preserve">.  </w:t>
      </w:r>
    </w:p>
    <w:p w:rsidR="00EB05A2" w:rsidRDefault="0041109C" w:rsidP="0041109C">
      <w:pPr>
        <w:spacing w:after="120"/>
        <w:ind w:firstLine="720"/>
        <w:rPr>
          <w:rFonts w:cs="Times New Roman"/>
        </w:rPr>
      </w:pPr>
      <w:r w:rsidRPr="00B12B4E">
        <w:rPr>
          <w:rFonts w:cs="Times New Roman"/>
        </w:rPr>
        <w:t xml:space="preserve">Decimal time was a </w:t>
      </w:r>
      <w:r>
        <w:rPr>
          <w:rFonts w:cs="Times New Roman"/>
        </w:rPr>
        <w:t xml:space="preserve">slightly </w:t>
      </w:r>
      <w:r w:rsidRPr="00B12B4E">
        <w:rPr>
          <w:rFonts w:cs="Times New Roman"/>
        </w:rPr>
        <w:t>significant explanatory variable for log-transformed DP during the same period</w:t>
      </w:r>
      <w:r>
        <w:rPr>
          <w:rFonts w:cs="Times New Roman"/>
        </w:rPr>
        <w:t xml:space="preserve"> (</w:t>
      </w:r>
      <w:r w:rsidRPr="00B12B4E">
        <w:rPr>
          <w:rFonts w:cs="Times New Roman"/>
        </w:rPr>
        <w:t>p = 0.0</w:t>
      </w:r>
      <w:r>
        <w:rPr>
          <w:rFonts w:cs="Times New Roman"/>
        </w:rPr>
        <w:t>299</w:t>
      </w:r>
      <w:r w:rsidRPr="00B12B4E">
        <w:rPr>
          <w:rFonts w:cs="Times New Roman"/>
        </w:rPr>
        <w:t xml:space="preserve">, n = </w:t>
      </w:r>
      <w:r>
        <w:rPr>
          <w:rFonts w:cs="Times New Roman"/>
        </w:rPr>
        <w:t>88</w:t>
      </w:r>
      <w:r w:rsidRPr="00B12B4E">
        <w:rPr>
          <w:rFonts w:cs="Times New Roman"/>
        </w:rPr>
        <w:t xml:space="preserve">).  The slope for decimal time was </w:t>
      </w:r>
      <w:bookmarkStart w:id="22" w:name="OLE_LINK12"/>
      <w:r w:rsidRPr="00B12B4E">
        <w:rPr>
          <w:rFonts w:cs="Times New Roman"/>
        </w:rPr>
        <w:t>-</w:t>
      </w:r>
      <w:r>
        <w:rPr>
          <w:rFonts w:cs="Times New Roman"/>
        </w:rPr>
        <w:t>0</w:t>
      </w:r>
      <w:r w:rsidRPr="00B12B4E">
        <w:rPr>
          <w:rFonts w:cs="Times New Roman"/>
        </w:rPr>
        <w:t>.04</w:t>
      </w:r>
      <w:r>
        <w:rPr>
          <w:rFonts w:cs="Times New Roman"/>
        </w:rPr>
        <w:t>415</w:t>
      </w:r>
      <w:r w:rsidRPr="00B12B4E">
        <w:rPr>
          <w:rFonts w:cs="Times New Roman"/>
        </w:rPr>
        <w:t xml:space="preserve"> </w:t>
      </w:r>
      <w:bookmarkEnd w:id="22"/>
      <w:r w:rsidRPr="00B12B4E">
        <w:rPr>
          <w:rFonts w:cs="Times New Roman"/>
        </w:rPr>
        <w:t xml:space="preserve">for </w:t>
      </w:r>
      <w:r>
        <w:rPr>
          <w:rFonts w:cs="Times New Roman"/>
        </w:rPr>
        <w:t>D</w:t>
      </w:r>
      <w:r w:rsidRPr="00B12B4E">
        <w:rPr>
          <w:rFonts w:cs="Times New Roman"/>
        </w:rPr>
        <w:t xml:space="preserve">P, which </w:t>
      </w:r>
      <w:r w:rsidRPr="000B5FD0">
        <w:rPr>
          <w:rFonts w:cs="Times New Roman"/>
        </w:rPr>
        <w:t>is roughly equivalent to a decrease of 4.3% per year, over the 2004 to 2013 period.</w:t>
      </w:r>
      <w:r w:rsidRPr="008D0759">
        <w:rPr>
          <w:rFonts w:cs="Times New Roman"/>
        </w:rPr>
        <w:t xml:space="preserve"> </w:t>
      </w:r>
      <w:r>
        <w:rPr>
          <w:rFonts w:cs="Times New Roman"/>
        </w:rPr>
        <w:t xml:space="preserve"> </w:t>
      </w:r>
      <w:r w:rsidRPr="00B12B4E">
        <w:rPr>
          <w:rFonts w:cs="Times New Roman"/>
        </w:rPr>
        <w:t>Overall F value for the LN_</w:t>
      </w:r>
      <w:r>
        <w:rPr>
          <w:rFonts w:cs="Times New Roman"/>
        </w:rPr>
        <w:t>D</w:t>
      </w:r>
      <w:r w:rsidRPr="00B12B4E">
        <w:rPr>
          <w:rFonts w:cs="Times New Roman"/>
        </w:rPr>
        <w:t xml:space="preserve">P model was </w:t>
      </w:r>
      <w:r>
        <w:rPr>
          <w:rFonts w:cs="Times New Roman"/>
        </w:rPr>
        <w:t>4.57</w:t>
      </w:r>
      <w:r w:rsidRPr="00B12B4E">
        <w:rPr>
          <w:rFonts w:cs="Times New Roman"/>
        </w:rPr>
        <w:t xml:space="preserve"> (p </w:t>
      </w:r>
      <w:r>
        <w:rPr>
          <w:rFonts w:cs="Times New Roman"/>
        </w:rPr>
        <w:t xml:space="preserve">= </w:t>
      </w:r>
      <w:r w:rsidRPr="00B12B4E">
        <w:rPr>
          <w:rFonts w:cs="Times New Roman"/>
        </w:rPr>
        <w:t>0.00</w:t>
      </w:r>
      <w:r>
        <w:rPr>
          <w:rFonts w:cs="Times New Roman"/>
        </w:rPr>
        <w:t>1</w:t>
      </w:r>
      <w:r w:rsidRPr="00B12B4E">
        <w:rPr>
          <w:rFonts w:cs="Times New Roman"/>
        </w:rPr>
        <w:t>0), and the adjusted R-square was 0.</w:t>
      </w:r>
      <w:r>
        <w:rPr>
          <w:rFonts w:cs="Times New Roman"/>
        </w:rPr>
        <w:t>107</w:t>
      </w:r>
      <w:r w:rsidRPr="00B12B4E">
        <w:rPr>
          <w:rFonts w:cs="Times New Roman"/>
        </w:rPr>
        <w:t xml:space="preserve">.  </w:t>
      </w:r>
      <w:r w:rsidR="006027C5">
        <w:rPr>
          <w:rFonts w:cs="Times New Roman"/>
        </w:rPr>
        <w:t xml:space="preserve"> These results are consistent with previous results which indicated a declining trend in TSS, TP and DP concentration over the WY2004 to 2013 record. </w:t>
      </w:r>
    </w:p>
    <w:p w:rsidR="00367D6F" w:rsidRDefault="003D20FE" w:rsidP="003D20FE">
      <w:pPr>
        <w:spacing w:after="120"/>
        <w:ind w:firstLine="720"/>
        <w:rPr>
          <w:rFonts w:cs="Times New Roman"/>
        </w:rPr>
      </w:pPr>
      <w:r w:rsidRPr="00B12B4E">
        <w:rPr>
          <w:rFonts w:cs="Times New Roman"/>
        </w:rPr>
        <w:t xml:space="preserve">The non-parametric Wilcoxon Rank sum test was </w:t>
      </w:r>
      <w:r w:rsidR="00502AB7">
        <w:rPr>
          <w:rFonts w:cs="Times New Roman"/>
        </w:rPr>
        <w:t xml:space="preserve">also </w:t>
      </w:r>
      <w:r w:rsidRPr="00B12B4E">
        <w:rPr>
          <w:rFonts w:cs="Times New Roman"/>
        </w:rPr>
        <w:t xml:space="preserve">performed on the </w:t>
      </w:r>
      <w:r w:rsidR="00235B79">
        <w:rPr>
          <w:rFonts w:cs="Times New Roman"/>
        </w:rPr>
        <w:t xml:space="preserve">weekly </w:t>
      </w:r>
      <w:r w:rsidRPr="00B12B4E">
        <w:rPr>
          <w:rFonts w:cs="Times New Roman"/>
        </w:rPr>
        <w:t xml:space="preserve">sub-sampled data set to test for differences in TSS, TP and DP concentrations, DP/TP ratio and flow between Period </w:t>
      </w:r>
      <w:r w:rsidR="00502AB7">
        <w:rPr>
          <w:rFonts w:cs="Times New Roman"/>
        </w:rPr>
        <w:t>3</w:t>
      </w:r>
      <w:r w:rsidRPr="00B12B4E">
        <w:rPr>
          <w:rFonts w:cs="Times New Roman"/>
        </w:rPr>
        <w:t xml:space="preserve"> </w:t>
      </w:r>
      <w:r w:rsidR="00502AB7">
        <w:rPr>
          <w:rFonts w:cs="Times New Roman"/>
        </w:rPr>
        <w:t xml:space="preserve">(WY2004 to 2007) </w:t>
      </w:r>
      <w:r w:rsidRPr="00B12B4E">
        <w:rPr>
          <w:rFonts w:cs="Times New Roman"/>
        </w:rPr>
        <w:t xml:space="preserve">and Period </w:t>
      </w:r>
      <w:r w:rsidR="00502AB7">
        <w:rPr>
          <w:rFonts w:cs="Times New Roman"/>
        </w:rPr>
        <w:t>4 (WY2010 to 2013)</w:t>
      </w:r>
      <w:r w:rsidRPr="00B12B4E">
        <w:rPr>
          <w:rFonts w:cs="Times New Roman"/>
        </w:rPr>
        <w:t xml:space="preserve">.  The results of this analysis are summarized in Table </w:t>
      </w:r>
      <w:r w:rsidR="00A84B6C">
        <w:rPr>
          <w:rFonts w:cs="Times New Roman"/>
        </w:rPr>
        <w:t>5</w:t>
      </w:r>
      <w:r w:rsidRPr="00B12B4E">
        <w:rPr>
          <w:rFonts w:cs="Times New Roman"/>
        </w:rPr>
        <w:t xml:space="preserve">.  </w:t>
      </w:r>
      <w:r w:rsidRPr="00B12B4E">
        <w:rPr>
          <w:rFonts w:cs="Times New Roman"/>
          <w:u w:val="single"/>
        </w:rPr>
        <w:t>There was no significant difference between the two periods in the concentration of TSS, TP and DP, and the DP/TP ratio between the two periods</w:t>
      </w:r>
      <w:r w:rsidRPr="00B12B4E">
        <w:rPr>
          <w:rFonts w:cs="Times New Roman"/>
        </w:rPr>
        <w:t xml:space="preserve"> (p = 0.</w:t>
      </w:r>
      <w:r w:rsidR="002E0D57">
        <w:rPr>
          <w:rFonts w:cs="Times New Roman"/>
        </w:rPr>
        <w:t>44</w:t>
      </w:r>
      <w:r w:rsidRPr="00B12B4E">
        <w:rPr>
          <w:rFonts w:cs="Times New Roman"/>
        </w:rPr>
        <w:t>, 0.</w:t>
      </w:r>
      <w:r w:rsidR="002E0D57">
        <w:rPr>
          <w:rFonts w:cs="Times New Roman"/>
        </w:rPr>
        <w:t>18</w:t>
      </w:r>
      <w:r w:rsidRPr="00B12B4E">
        <w:rPr>
          <w:rFonts w:cs="Times New Roman"/>
        </w:rPr>
        <w:t>, 0.</w:t>
      </w:r>
      <w:r w:rsidR="002E0D57">
        <w:rPr>
          <w:rFonts w:cs="Times New Roman"/>
        </w:rPr>
        <w:t>16</w:t>
      </w:r>
      <w:r w:rsidRPr="00B12B4E">
        <w:rPr>
          <w:rFonts w:cs="Times New Roman"/>
        </w:rPr>
        <w:t>, and 0.</w:t>
      </w:r>
      <w:r w:rsidR="002E0D57">
        <w:rPr>
          <w:rFonts w:cs="Times New Roman"/>
        </w:rPr>
        <w:t>94</w:t>
      </w:r>
      <w:r w:rsidRPr="00B12B4E">
        <w:rPr>
          <w:rFonts w:cs="Times New Roman"/>
        </w:rPr>
        <w:t xml:space="preserve"> respectively).  </w:t>
      </w:r>
    </w:p>
    <w:p w:rsidR="005B211A" w:rsidRPr="00316E66" w:rsidRDefault="00502AB7" w:rsidP="005B211A">
      <w:pPr>
        <w:spacing w:after="120"/>
        <w:ind w:firstLine="720"/>
        <w:rPr>
          <w:rFonts w:cs="Times New Roman"/>
        </w:rPr>
      </w:pPr>
      <w:r w:rsidRPr="008760BE">
        <w:rPr>
          <w:rFonts w:cs="Times New Roman"/>
        </w:rPr>
        <w:t>The median TSS concentration of this sub-sampled data set was 7.00 mg/L during Period 3 and 6.90 mg/L during Period 4 (n = 95 and 40, respectively).  The median TP concentration of this sub-sampled data set was 0.14 mg/L during Period 3 compared to 0.15 mg/L during Period 4 (n = 95 and 40, respectively).  The median DP concentration of the sub-sampled data set was 0.11 mg/L during the Peri</w:t>
      </w:r>
      <w:r w:rsidRPr="00B12B4E">
        <w:rPr>
          <w:rFonts w:cs="Times New Roman"/>
        </w:rPr>
        <w:t>od 3 compared to 0.0</w:t>
      </w:r>
      <w:r>
        <w:rPr>
          <w:rFonts w:cs="Times New Roman"/>
        </w:rPr>
        <w:t>8</w:t>
      </w:r>
      <w:r w:rsidRPr="00B12B4E">
        <w:rPr>
          <w:rFonts w:cs="Times New Roman"/>
        </w:rPr>
        <w:t xml:space="preserve"> mg/L during the Period 4 (n = </w:t>
      </w:r>
      <w:r>
        <w:rPr>
          <w:rFonts w:cs="Times New Roman"/>
        </w:rPr>
        <w:t>44</w:t>
      </w:r>
      <w:r w:rsidRPr="00B12B4E">
        <w:rPr>
          <w:rFonts w:cs="Times New Roman"/>
        </w:rPr>
        <w:t xml:space="preserve"> and 3</w:t>
      </w:r>
      <w:r>
        <w:rPr>
          <w:rFonts w:cs="Times New Roman"/>
        </w:rPr>
        <w:t>3</w:t>
      </w:r>
      <w:r w:rsidRPr="00B12B4E">
        <w:rPr>
          <w:rFonts w:cs="Times New Roman"/>
        </w:rPr>
        <w:t xml:space="preserve">, respectively).  </w:t>
      </w:r>
      <w:r w:rsidR="003D20FE" w:rsidRPr="00B12B4E">
        <w:rPr>
          <w:rFonts w:cs="Times New Roman"/>
        </w:rPr>
        <w:t>The median flow of this sub-sampled data set was 1</w:t>
      </w:r>
      <w:r w:rsidR="00A44E41">
        <w:rPr>
          <w:rFonts w:cs="Times New Roman"/>
        </w:rPr>
        <w:t>2</w:t>
      </w:r>
      <w:r w:rsidR="003D20FE" w:rsidRPr="00B12B4E">
        <w:rPr>
          <w:rFonts w:cs="Times New Roman"/>
        </w:rPr>
        <w:t xml:space="preserve"> cfs during Period 3 and 3</w:t>
      </w:r>
      <w:r w:rsidR="00A44E41">
        <w:rPr>
          <w:rFonts w:cs="Times New Roman"/>
        </w:rPr>
        <w:t>4</w:t>
      </w:r>
      <w:r w:rsidR="003D20FE" w:rsidRPr="00B12B4E">
        <w:rPr>
          <w:rFonts w:cs="Times New Roman"/>
        </w:rPr>
        <w:t xml:space="preserve"> cfs during Period 4, and the mean flows were 1</w:t>
      </w:r>
      <w:r w:rsidR="00A44E41">
        <w:rPr>
          <w:rFonts w:cs="Times New Roman"/>
        </w:rPr>
        <w:t>12</w:t>
      </w:r>
      <w:r w:rsidR="003D20FE" w:rsidRPr="00B12B4E">
        <w:rPr>
          <w:rFonts w:cs="Times New Roman"/>
        </w:rPr>
        <w:t xml:space="preserve"> cfs and 16</w:t>
      </w:r>
      <w:r w:rsidR="00CF3A8F">
        <w:rPr>
          <w:rFonts w:cs="Times New Roman"/>
        </w:rPr>
        <w:t>9</w:t>
      </w:r>
      <w:r w:rsidR="003D20FE" w:rsidRPr="00B12B4E">
        <w:rPr>
          <w:rFonts w:cs="Times New Roman"/>
        </w:rPr>
        <w:t xml:space="preserve"> cfs, respectively.  However, flow was not significantly different between the two periods (p = 0.</w:t>
      </w:r>
      <w:r w:rsidR="002E0D57">
        <w:rPr>
          <w:rFonts w:cs="Times New Roman"/>
        </w:rPr>
        <w:t>17</w:t>
      </w:r>
      <w:r w:rsidR="003D20FE" w:rsidRPr="00B12B4E">
        <w:rPr>
          <w:rFonts w:cs="Times New Roman"/>
        </w:rPr>
        <w:t xml:space="preserve">). </w:t>
      </w:r>
    </w:p>
    <w:p w:rsidR="005B211A" w:rsidRDefault="005B211A" w:rsidP="005B211A">
      <w:pPr>
        <w:spacing w:after="120"/>
        <w:ind w:firstLine="720"/>
        <w:rPr>
          <w:rFonts w:cs="Times New Roman"/>
        </w:rPr>
      </w:pPr>
      <w:r w:rsidRPr="00316E66">
        <w:rPr>
          <w:rFonts w:cs="Times New Roman"/>
        </w:rPr>
        <w:t>Th</w:t>
      </w:r>
      <w:r w:rsidR="00EE3057" w:rsidRPr="00316E66">
        <w:rPr>
          <w:rFonts w:cs="Times New Roman"/>
        </w:rPr>
        <w:t>e negative results from the sub-sampled non-parametric analysis</w:t>
      </w:r>
      <w:r w:rsidRPr="00316E66">
        <w:rPr>
          <w:rFonts w:cs="Times New Roman"/>
        </w:rPr>
        <w:t xml:space="preserve"> </w:t>
      </w:r>
      <w:r w:rsidR="00EE3057" w:rsidRPr="00316E66">
        <w:rPr>
          <w:rFonts w:cs="Times New Roman"/>
        </w:rPr>
        <w:t>are</w:t>
      </w:r>
      <w:r w:rsidRPr="00316E66">
        <w:rPr>
          <w:rFonts w:cs="Times New Roman"/>
        </w:rPr>
        <w:t xml:space="preserve"> </w:t>
      </w:r>
      <w:r w:rsidR="00316E66">
        <w:rPr>
          <w:rFonts w:cs="Times New Roman"/>
        </w:rPr>
        <w:t xml:space="preserve">contrary to </w:t>
      </w:r>
      <w:r w:rsidR="007523D9">
        <w:rPr>
          <w:rFonts w:cs="Times New Roman"/>
        </w:rPr>
        <w:t>results from</w:t>
      </w:r>
      <w:r w:rsidR="00316E66">
        <w:rPr>
          <w:rFonts w:cs="Times New Roman"/>
        </w:rPr>
        <w:t xml:space="preserve"> tests conducted for the </w:t>
      </w:r>
      <w:r w:rsidRPr="00316E66">
        <w:rPr>
          <w:rFonts w:cs="Times New Roman"/>
        </w:rPr>
        <w:t>whole data set</w:t>
      </w:r>
      <w:r w:rsidR="00316E66">
        <w:rPr>
          <w:rFonts w:cs="Times New Roman"/>
        </w:rPr>
        <w:t xml:space="preserve">, as well as the regression analysis </w:t>
      </w:r>
      <w:r w:rsidR="007523D9">
        <w:rPr>
          <w:rFonts w:cs="Times New Roman"/>
        </w:rPr>
        <w:t>for t</w:t>
      </w:r>
      <w:r w:rsidR="00316E66">
        <w:rPr>
          <w:rFonts w:cs="Times New Roman"/>
        </w:rPr>
        <w:t>he sub-sampled data set</w:t>
      </w:r>
      <w:r w:rsidRPr="00316E66">
        <w:rPr>
          <w:rFonts w:cs="Times New Roman"/>
        </w:rPr>
        <w:t xml:space="preserve">.  </w:t>
      </w:r>
      <w:r w:rsidR="00316E66">
        <w:rPr>
          <w:rFonts w:cs="Times New Roman"/>
        </w:rPr>
        <w:t>One p</w:t>
      </w:r>
      <w:r w:rsidRPr="00316E66">
        <w:rPr>
          <w:rFonts w:cs="Times New Roman"/>
        </w:rPr>
        <w:t xml:space="preserve">ossible explanation is that the number of samples is simply too low to provide enough statistical power given the variability of the </w:t>
      </w:r>
      <w:r w:rsidR="00EE3057" w:rsidRPr="00316E66">
        <w:rPr>
          <w:rFonts w:cs="Times New Roman"/>
        </w:rPr>
        <w:t xml:space="preserve">TSS and phosphorus </w:t>
      </w:r>
      <w:r w:rsidRPr="00316E66">
        <w:rPr>
          <w:rFonts w:cs="Times New Roman"/>
        </w:rPr>
        <w:t>data</w:t>
      </w:r>
      <w:r w:rsidR="002F14A0">
        <w:rPr>
          <w:rFonts w:cs="Times New Roman"/>
        </w:rPr>
        <w:t xml:space="preserve">.  </w:t>
      </w:r>
      <w:r w:rsidR="00316E66">
        <w:rPr>
          <w:rFonts w:cs="Times New Roman"/>
        </w:rPr>
        <w:t>Or the ef</w:t>
      </w:r>
      <w:r w:rsidR="00367D6F" w:rsidRPr="00316E66">
        <w:rPr>
          <w:rFonts w:cs="Times New Roman"/>
        </w:rPr>
        <w:t xml:space="preserve">fect of flow on the concentrations </w:t>
      </w:r>
      <w:r w:rsidR="00316E66">
        <w:rPr>
          <w:rFonts w:cs="Times New Roman"/>
        </w:rPr>
        <w:t>was</w:t>
      </w:r>
      <w:r w:rsidR="00367D6F" w:rsidRPr="00316E66">
        <w:rPr>
          <w:rFonts w:cs="Times New Roman"/>
        </w:rPr>
        <w:t xml:space="preserve"> not factored in</w:t>
      </w:r>
      <w:r w:rsidR="00192359">
        <w:rPr>
          <w:rFonts w:cs="Times New Roman"/>
        </w:rPr>
        <w:t>to</w:t>
      </w:r>
      <w:r w:rsidR="00316E66">
        <w:rPr>
          <w:rFonts w:cs="Times New Roman"/>
        </w:rPr>
        <w:t xml:space="preserve"> the non-parametric analysis </w:t>
      </w:r>
      <w:r w:rsidR="00367D6F" w:rsidRPr="00316E66">
        <w:rPr>
          <w:rFonts w:cs="Times New Roman"/>
        </w:rPr>
        <w:t>as</w:t>
      </w:r>
      <w:r w:rsidR="00316E66">
        <w:rPr>
          <w:rFonts w:cs="Times New Roman"/>
        </w:rPr>
        <w:t xml:space="preserve"> </w:t>
      </w:r>
      <w:r w:rsidR="00367D6F" w:rsidRPr="00316E66">
        <w:rPr>
          <w:rFonts w:cs="Times New Roman"/>
        </w:rPr>
        <w:t xml:space="preserve">was done with </w:t>
      </w:r>
      <w:r w:rsidR="00316E66">
        <w:rPr>
          <w:rFonts w:cs="Times New Roman"/>
        </w:rPr>
        <w:t xml:space="preserve">the </w:t>
      </w:r>
      <w:r w:rsidR="00367D6F" w:rsidRPr="00316E66">
        <w:rPr>
          <w:rFonts w:cs="Times New Roman"/>
        </w:rPr>
        <w:t>regression analysis</w:t>
      </w:r>
      <w:r w:rsidR="00EE3057" w:rsidRPr="00316E66">
        <w:rPr>
          <w:rFonts w:cs="Times New Roman"/>
        </w:rPr>
        <w:t xml:space="preserve">.  Alternatively, </w:t>
      </w:r>
      <w:r w:rsidR="002F14A0">
        <w:rPr>
          <w:rFonts w:cs="Times New Roman"/>
        </w:rPr>
        <w:t xml:space="preserve">perhaps </w:t>
      </w:r>
      <w:r w:rsidR="00EE3057" w:rsidRPr="00316E66">
        <w:rPr>
          <w:rFonts w:cs="Times New Roman"/>
        </w:rPr>
        <w:t>the null-hypothesis should not be rejected</w:t>
      </w:r>
      <w:r w:rsidR="002F14A0">
        <w:rPr>
          <w:rFonts w:cs="Times New Roman"/>
        </w:rPr>
        <w:t>.  H</w:t>
      </w:r>
      <w:r w:rsidR="00EE3057" w:rsidRPr="00316E66">
        <w:rPr>
          <w:rFonts w:cs="Times New Roman"/>
        </w:rPr>
        <w:t>owever, all the other tests seem to support t</w:t>
      </w:r>
      <w:r w:rsidR="00EE3057">
        <w:rPr>
          <w:rFonts w:cs="Times New Roman"/>
        </w:rPr>
        <w:t>he opposite finding</w:t>
      </w:r>
      <w:r w:rsidR="00192359">
        <w:rPr>
          <w:rFonts w:cs="Times New Roman"/>
        </w:rPr>
        <w:t xml:space="preserve">; that is, </w:t>
      </w:r>
      <w:r w:rsidR="00EE3057">
        <w:rPr>
          <w:rFonts w:cs="Times New Roman"/>
        </w:rPr>
        <w:t xml:space="preserve">TSS, TP and DP </w:t>
      </w:r>
      <w:r w:rsidR="00192359">
        <w:rPr>
          <w:rFonts w:cs="Times New Roman"/>
        </w:rPr>
        <w:t xml:space="preserve">concentrations </w:t>
      </w:r>
      <w:r w:rsidR="00EE3057">
        <w:rPr>
          <w:rFonts w:cs="Times New Roman"/>
        </w:rPr>
        <w:t xml:space="preserve">have </w:t>
      </w:r>
      <w:r w:rsidR="0092770A">
        <w:rPr>
          <w:rFonts w:cs="Times New Roman"/>
        </w:rPr>
        <w:t xml:space="preserve">likely </w:t>
      </w:r>
      <w:r w:rsidR="00EE3057">
        <w:rPr>
          <w:rFonts w:cs="Times New Roman"/>
        </w:rPr>
        <w:t>declined during the WY 2004 to 2013 record.</w:t>
      </w:r>
    </w:p>
    <w:p w:rsidR="0092770A" w:rsidRDefault="0092770A">
      <w:pPr>
        <w:spacing w:after="200" w:line="276" w:lineRule="auto"/>
        <w:rPr>
          <w:rFonts w:eastAsiaTheme="majorEastAsia" w:cstheme="majorBidi"/>
          <w:b/>
          <w:bCs/>
        </w:rPr>
      </w:pPr>
      <w:r>
        <w:rPr>
          <w:rFonts w:eastAsiaTheme="majorEastAsia" w:cstheme="majorBidi"/>
          <w:b/>
          <w:bCs/>
        </w:rPr>
        <w:br w:type="page"/>
      </w:r>
    </w:p>
    <w:p w:rsidR="003D20FE" w:rsidRPr="00B12B4E" w:rsidRDefault="003D20FE" w:rsidP="003D20FE">
      <w:pPr>
        <w:pStyle w:val="Caption"/>
      </w:pPr>
      <w:bookmarkStart w:id="23" w:name="_Toc239677155"/>
      <w:bookmarkStart w:id="24" w:name="_Toc245631735"/>
      <w:r w:rsidRPr="00B12B4E">
        <w:lastRenderedPageBreak/>
        <w:t xml:space="preserve">Table </w:t>
      </w:r>
      <w:r w:rsidR="008A4BEC">
        <w:t>5</w:t>
      </w:r>
      <w:r w:rsidRPr="00B12B4E">
        <w:t xml:space="preserve">.  </w:t>
      </w:r>
      <w:r w:rsidR="00C15747">
        <w:t xml:space="preserve">Statistical analysis of Duck Creek water sample data sub-sampled on no more than a once-per-week basis </w:t>
      </w:r>
      <w:r w:rsidR="006E5C99">
        <w:t xml:space="preserve">during </w:t>
      </w:r>
      <w:r w:rsidR="00C15747">
        <w:t>the</w:t>
      </w:r>
      <w:r w:rsidR="00C15747" w:rsidRPr="00534A10">
        <w:t xml:space="preserve"> 2004 to 201</w:t>
      </w:r>
      <w:r w:rsidR="00C15747">
        <w:t xml:space="preserve">3 </w:t>
      </w:r>
      <w:r w:rsidR="006E5C99">
        <w:t>record</w:t>
      </w:r>
      <w:r w:rsidR="00C15747">
        <w:t xml:space="preserve">.  Analysis A: </w:t>
      </w:r>
      <w:r w:rsidR="002A7E36">
        <w:t>Linear r</w:t>
      </w:r>
      <w:r w:rsidR="00BC35F9" w:rsidRPr="00534A10">
        <w:t xml:space="preserve">egression model </w:t>
      </w:r>
      <w:r w:rsidR="002A7E36">
        <w:t xml:space="preserve">slopes and </w:t>
      </w:r>
      <w:r w:rsidR="00BC35F9" w:rsidRPr="00534A10">
        <w:t xml:space="preserve">P-values of the </w:t>
      </w:r>
      <w:r w:rsidR="00BC35F9">
        <w:t xml:space="preserve">decimal time </w:t>
      </w:r>
      <w:r w:rsidR="00BC35F9" w:rsidRPr="00534A10">
        <w:t xml:space="preserve">coefficients </w:t>
      </w:r>
      <w:r w:rsidR="00BC35F9">
        <w:t xml:space="preserve">(date) </w:t>
      </w:r>
      <w:r w:rsidR="00BC35F9" w:rsidRPr="00534A10">
        <w:t>in the Duck</w:t>
      </w:r>
      <w:r w:rsidR="00BC35F9">
        <w:t xml:space="preserve"> </w:t>
      </w:r>
      <w:r w:rsidR="00BC35F9" w:rsidRPr="00534A10">
        <w:t>Creek log-transformed total suspended solids (TSS)</w:t>
      </w:r>
      <w:r w:rsidR="006E5C99">
        <w:t>,</w:t>
      </w:r>
      <w:r w:rsidR="00BC35F9" w:rsidRPr="00534A10">
        <w:t xml:space="preserve"> total phosphorus (TP) </w:t>
      </w:r>
      <w:r w:rsidR="002A7E36">
        <w:t xml:space="preserve">and dissolved phosphorus (DP)  </w:t>
      </w:r>
      <w:r w:rsidR="00BC35F9" w:rsidRPr="00534A10">
        <w:t>regression models</w:t>
      </w:r>
      <w:r w:rsidR="00BC35F9" w:rsidRPr="00B12B4E">
        <w:t>.</w:t>
      </w:r>
      <w:r w:rsidR="00BC35F9">
        <w:t xml:space="preserve">  </w:t>
      </w:r>
      <w:r w:rsidR="00C15747">
        <w:t xml:space="preserve">Analysis B: </w:t>
      </w:r>
      <w:r w:rsidRPr="00B12B4E">
        <w:t>Non-parametric Wilcoxon Rank sum test (t-approximation) of TSS, TP, DP, DP/TP and flow data between Period 3 and Period 4.  P3 indicates Period 3 (USGS water years 2004 to 200</w:t>
      </w:r>
      <w:r w:rsidR="000E6759">
        <w:t>7</w:t>
      </w:r>
      <w:r w:rsidRPr="00B12B4E">
        <w:t>), P4 indicates Period 4 (USGS water years 2010 to 201</w:t>
      </w:r>
      <w:r w:rsidR="00797DFA">
        <w:t>3</w:t>
      </w:r>
      <w:r w:rsidRPr="00B12B4E">
        <w:t>).  Data from 2008 and 2009 were not included in th</w:t>
      </w:r>
      <w:r w:rsidR="00C15747">
        <w:t xml:space="preserve">e non-parametric </w:t>
      </w:r>
      <w:r w:rsidRPr="00B12B4E">
        <w:t xml:space="preserve">portion of the analysis because this period was considered transitional.  </w:t>
      </w:r>
      <w:r w:rsidR="00DE468C" w:rsidRPr="00DE468C">
        <w:t xml:space="preserve">To reflect the different null hypotheses, statistical tests for </w:t>
      </w:r>
      <w:r w:rsidR="00DE468C">
        <w:t xml:space="preserve">TSS, </w:t>
      </w:r>
      <w:r w:rsidR="00DE468C" w:rsidRPr="00DE468C">
        <w:t>TP and DP were one-sided, whereas tests for DP/TP and flow were two-sided.</w:t>
      </w:r>
      <w:r w:rsidR="00DE468C">
        <w:t xml:space="preserve">  </w:t>
      </w:r>
      <w:r w:rsidR="00E7506D">
        <w:t>S</w:t>
      </w:r>
      <w:r w:rsidRPr="00B12B4E">
        <w:t>ignificant differences</w:t>
      </w:r>
      <w:r w:rsidR="00E7506D">
        <w:t xml:space="preserve"> are </w:t>
      </w:r>
      <w:r w:rsidR="00E7506D" w:rsidRPr="00E7506D">
        <w:rPr>
          <w:i/>
        </w:rPr>
        <w:t>ital</w:t>
      </w:r>
      <w:r w:rsidR="00E7506D">
        <w:rPr>
          <w:i/>
        </w:rPr>
        <w:t>i</w:t>
      </w:r>
      <w:r w:rsidR="00BC35F9">
        <w:rPr>
          <w:i/>
        </w:rPr>
        <w:t>ci</w:t>
      </w:r>
      <w:r w:rsidR="00E7506D">
        <w:rPr>
          <w:i/>
        </w:rPr>
        <w:t>z</w:t>
      </w:r>
      <w:r w:rsidR="00E7506D" w:rsidRPr="00E7506D">
        <w:rPr>
          <w:i/>
        </w:rPr>
        <w:t>ed</w:t>
      </w:r>
      <w:r w:rsidRPr="00B12B4E">
        <w:t xml:space="preserve">.  </w:t>
      </w:r>
      <w:bookmarkEnd w:id="23"/>
      <w:bookmarkEnd w:id="24"/>
    </w:p>
    <w:tbl>
      <w:tblPr>
        <w:tblStyle w:val="LightShading1"/>
        <w:tblW w:w="0" w:type="auto"/>
        <w:jc w:val="center"/>
        <w:tblLook w:val="04A0" w:firstRow="1" w:lastRow="0" w:firstColumn="1" w:lastColumn="0" w:noHBand="0" w:noVBand="1"/>
      </w:tblPr>
      <w:tblGrid>
        <w:gridCol w:w="1254"/>
        <w:gridCol w:w="1221"/>
        <w:gridCol w:w="1117"/>
        <w:gridCol w:w="1216"/>
        <w:gridCol w:w="1221"/>
      </w:tblGrid>
      <w:tr w:rsidR="002A7E36" w:rsidRPr="00B12B4E" w:rsidTr="00C157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4" w:type="dxa"/>
            <w:tcBorders>
              <w:left w:val="single" w:sz="8" w:space="0" w:color="000000" w:themeColor="text1"/>
            </w:tcBorders>
          </w:tcPr>
          <w:p w:rsidR="002A7E36" w:rsidRPr="00B12B4E" w:rsidRDefault="002A7E36" w:rsidP="00943BED">
            <w:pPr>
              <w:spacing w:after="120"/>
              <w:rPr>
                <w:rFonts w:cs="Times New Roman"/>
                <w:b w:val="0"/>
                <w:sz w:val="20"/>
                <w:szCs w:val="20"/>
              </w:rPr>
            </w:pPr>
          </w:p>
        </w:tc>
        <w:tc>
          <w:tcPr>
            <w:tcW w:w="4775" w:type="dxa"/>
            <w:gridSpan w:val="4"/>
            <w:tcBorders>
              <w:left w:val="single" w:sz="8" w:space="0" w:color="000000" w:themeColor="text1"/>
              <w:right w:val="single" w:sz="8" w:space="0" w:color="000000" w:themeColor="text1"/>
            </w:tcBorders>
            <w:vAlign w:val="bottom"/>
          </w:tcPr>
          <w:p w:rsidR="002A7E36" w:rsidRPr="00C15747" w:rsidRDefault="002A7E36" w:rsidP="00C15747">
            <w:pPr>
              <w:spacing w:after="12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15747">
              <w:rPr>
                <w:rFonts w:cs="Times New Roman"/>
                <w:sz w:val="20"/>
                <w:szCs w:val="20"/>
              </w:rPr>
              <w:t>Weekly sub-sampled data</w:t>
            </w:r>
          </w:p>
        </w:tc>
      </w:tr>
      <w:tr w:rsidR="00426D16" w:rsidRPr="00B12B4E" w:rsidTr="00656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4" w:type="dxa"/>
            <w:tcBorders>
              <w:left w:val="single" w:sz="8" w:space="0" w:color="000000" w:themeColor="text1"/>
            </w:tcBorders>
          </w:tcPr>
          <w:p w:rsidR="00426D16" w:rsidRPr="00B12B4E" w:rsidRDefault="00426D16" w:rsidP="00943BED">
            <w:pPr>
              <w:spacing w:after="120"/>
              <w:rPr>
                <w:rFonts w:cs="Times New Roman"/>
                <w:b w:val="0"/>
                <w:sz w:val="20"/>
                <w:szCs w:val="20"/>
              </w:rPr>
            </w:pPr>
          </w:p>
        </w:tc>
        <w:tc>
          <w:tcPr>
            <w:tcW w:w="3554" w:type="dxa"/>
            <w:gridSpan w:val="3"/>
            <w:tcBorders>
              <w:left w:val="single" w:sz="8" w:space="0" w:color="000000" w:themeColor="text1"/>
              <w:right w:val="single" w:sz="8" w:space="0" w:color="000000" w:themeColor="text1"/>
            </w:tcBorders>
            <w:vAlign w:val="bottom"/>
          </w:tcPr>
          <w:p w:rsidR="00426D16" w:rsidRPr="00B12B4E" w:rsidRDefault="00426D16" w:rsidP="006E5C99">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 xml:space="preserve">Analysis </w:t>
            </w:r>
            <w:r w:rsidR="006E5C99">
              <w:rPr>
                <w:rFonts w:cs="Times New Roman"/>
                <w:b/>
                <w:sz w:val="20"/>
                <w:szCs w:val="20"/>
              </w:rPr>
              <w:t>B</w:t>
            </w:r>
          </w:p>
        </w:tc>
        <w:tc>
          <w:tcPr>
            <w:tcW w:w="1221" w:type="dxa"/>
            <w:tcBorders>
              <w:right w:val="single" w:sz="8" w:space="0" w:color="000000" w:themeColor="text1"/>
            </w:tcBorders>
            <w:vAlign w:val="bottom"/>
          </w:tcPr>
          <w:p w:rsidR="00426D16" w:rsidRDefault="00426D16" w:rsidP="006E5C99">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 xml:space="preserve">Analysis </w:t>
            </w:r>
            <w:r w:rsidR="006E5C99">
              <w:rPr>
                <w:rFonts w:cs="Times New Roman"/>
                <w:b/>
                <w:sz w:val="20"/>
                <w:szCs w:val="20"/>
              </w:rPr>
              <w:t>A</w:t>
            </w:r>
          </w:p>
        </w:tc>
      </w:tr>
      <w:tr w:rsidR="002A7E36" w:rsidRPr="00B12B4E" w:rsidTr="002A7E36">
        <w:trPr>
          <w:jc w:val="center"/>
        </w:trPr>
        <w:tc>
          <w:tcPr>
            <w:cnfStyle w:val="001000000000" w:firstRow="0" w:lastRow="0" w:firstColumn="1" w:lastColumn="0" w:oddVBand="0" w:evenVBand="0" w:oddHBand="0" w:evenHBand="0" w:firstRowFirstColumn="0" w:firstRowLastColumn="0" w:lastRowFirstColumn="0" w:lastRowLastColumn="0"/>
            <w:tcW w:w="1254" w:type="dxa"/>
            <w:tcBorders>
              <w:left w:val="single" w:sz="8" w:space="0" w:color="000000" w:themeColor="text1"/>
            </w:tcBorders>
          </w:tcPr>
          <w:p w:rsidR="002A7E36" w:rsidRPr="00B12B4E" w:rsidRDefault="002A7E36" w:rsidP="00943BED">
            <w:pPr>
              <w:spacing w:after="120"/>
              <w:rPr>
                <w:rFonts w:cs="Times New Roman"/>
                <w:b w:val="0"/>
                <w:sz w:val="20"/>
                <w:szCs w:val="20"/>
              </w:rPr>
            </w:pPr>
          </w:p>
        </w:tc>
        <w:tc>
          <w:tcPr>
            <w:tcW w:w="2338" w:type="dxa"/>
            <w:gridSpan w:val="2"/>
            <w:tcBorders>
              <w:left w:val="single" w:sz="8" w:space="0" w:color="000000" w:themeColor="text1"/>
            </w:tcBorders>
            <w:vAlign w:val="bottom"/>
          </w:tcPr>
          <w:p w:rsidR="002A7E36" w:rsidRPr="00B12B4E" w:rsidRDefault="002A7E36"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12B4E">
              <w:rPr>
                <w:rFonts w:cs="Times New Roman"/>
                <w:b/>
                <w:sz w:val="20"/>
                <w:szCs w:val="20"/>
              </w:rPr>
              <w:t>Median  &amp; number of samples</w:t>
            </w:r>
          </w:p>
        </w:tc>
        <w:tc>
          <w:tcPr>
            <w:tcW w:w="1216" w:type="dxa"/>
            <w:tcBorders>
              <w:right w:val="single" w:sz="8" w:space="0" w:color="000000" w:themeColor="text1"/>
            </w:tcBorders>
            <w:vAlign w:val="bottom"/>
          </w:tcPr>
          <w:p w:rsidR="002A7E36" w:rsidRPr="00B12B4E" w:rsidRDefault="002A7E36"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12B4E">
              <w:rPr>
                <w:rFonts w:cs="Times New Roman"/>
                <w:b/>
                <w:sz w:val="20"/>
                <w:szCs w:val="20"/>
              </w:rPr>
              <w:t>Wilcoxon</w:t>
            </w:r>
          </w:p>
          <w:p w:rsidR="002A7E36" w:rsidRPr="00B12B4E" w:rsidRDefault="002A7E36"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12B4E">
              <w:rPr>
                <w:rFonts w:cs="Times New Roman"/>
                <w:b/>
                <w:sz w:val="20"/>
                <w:szCs w:val="20"/>
              </w:rPr>
              <w:t>Rank-Sum</w:t>
            </w:r>
          </w:p>
        </w:tc>
        <w:tc>
          <w:tcPr>
            <w:tcW w:w="1221" w:type="dxa"/>
            <w:tcBorders>
              <w:right w:val="single" w:sz="8" w:space="0" w:color="000000" w:themeColor="text1"/>
            </w:tcBorders>
            <w:vAlign w:val="bottom"/>
          </w:tcPr>
          <w:p w:rsidR="002A7E36" w:rsidRPr="00B12B4E" w:rsidRDefault="002A7E36" w:rsidP="00C15747">
            <w:pPr>
              <w:spacing w:after="12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Linear Regression Decimal time</w:t>
            </w:r>
          </w:p>
        </w:tc>
      </w:tr>
      <w:tr w:rsidR="002A7E36" w:rsidRPr="00B12B4E" w:rsidTr="002A7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4" w:type="dxa"/>
            <w:tcBorders>
              <w:left w:val="single" w:sz="8" w:space="0" w:color="000000" w:themeColor="text1"/>
              <w:bottom w:val="single" w:sz="4" w:space="0" w:color="auto"/>
            </w:tcBorders>
          </w:tcPr>
          <w:p w:rsidR="002A7E36" w:rsidRPr="00B12B4E" w:rsidRDefault="002A7E36" w:rsidP="00943BED">
            <w:pPr>
              <w:spacing w:after="120"/>
              <w:rPr>
                <w:rFonts w:cs="Times New Roman"/>
                <w:sz w:val="20"/>
                <w:szCs w:val="20"/>
              </w:rPr>
            </w:pPr>
            <w:r w:rsidRPr="00B12B4E">
              <w:rPr>
                <w:rFonts w:cs="Times New Roman"/>
                <w:sz w:val="20"/>
                <w:szCs w:val="20"/>
              </w:rPr>
              <w:t>Variable</w:t>
            </w:r>
          </w:p>
        </w:tc>
        <w:tc>
          <w:tcPr>
            <w:tcW w:w="1221" w:type="dxa"/>
            <w:tcBorders>
              <w:left w:val="single" w:sz="8" w:space="0" w:color="000000" w:themeColor="text1"/>
              <w:bottom w:val="single" w:sz="4" w:space="0" w:color="auto"/>
            </w:tcBorders>
            <w:vAlign w:val="center"/>
          </w:tcPr>
          <w:p w:rsidR="002A7E36" w:rsidRPr="00B12B4E" w:rsidRDefault="002A7E36" w:rsidP="00BC35F9">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12B4E">
              <w:rPr>
                <w:rFonts w:cs="Times New Roman"/>
                <w:b/>
                <w:sz w:val="20"/>
                <w:szCs w:val="20"/>
              </w:rPr>
              <w:t>Period 3</w:t>
            </w:r>
          </w:p>
        </w:tc>
        <w:tc>
          <w:tcPr>
            <w:tcW w:w="1117" w:type="dxa"/>
            <w:tcBorders>
              <w:bottom w:val="single" w:sz="4" w:space="0" w:color="auto"/>
            </w:tcBorders>
            <w:vAlign w:val="center"/>
          </w:tcPr>
          <w:p w:rsidR="002A7E36" w:rsidRPr="00B12B4E" w:rsidRDefault="002A7E36" w:rsidP="00BC35F9">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12B4E">
              <w:rPr>
                <w:rFonts w:cs="Times New Roman"/>
                <w:b/>
                <w:sz w:val="20"/>
                <w:szCs w:val="20"/>
              </w:rPr>
              <w:t>Period 4</w:t>
            </w:r>
          </w:p>
        </w:tc>
        <w:tc>
          <w:tcPr>
            <w:tcW w:w="1216" w:type="dxa"/>
            <w:tcBorders>
              <w:bottom w:val="single" w:sz="4" w:space="0" w:color="auto"/>
              <w:right w:val="single" w:sz="8" w:space="0" w:color="000000" w:themeColor="text1"/>
            </w:tcBorders>
            <w:vAlign w:val="center"/>
          </w:tcPr>
          <w:p w:rsidR="002A7E36" w:rsidRPr="00B12B4E" w:rsidRDefault="002A7E36" w:rsidP="00C15747">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Slope and significance</w:t>
            </w:r>
          </w:p>
        </w:tc>
        <w:tc>
          <w:tcPr>
            <w:tcW w:w="1221" w:type="dxa"/>
            <w:tcBorders>
              <w:bottom w:val="single" w:sz="4" w:space="0" w:color="auto"/>
              <w:right w:val="single" w:sz="8" w:space="0" w:color="000000" w:themeColor="text1"/>
            </w:tcBorders>
            <w:vAlign w:val="center"/>
          </w:tcPr>
          <w:p w:rsidR="002A7E36" w:rsidRPr="00B12B4E" w:rsidRDefault="002A7E36" w:rsidP="00C15747">
            <w:pPr>
              <w:spacing w:after="12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Slope and significance</w:t>
            </w:r>
          </w:p>
        </w:tc>
      </w:tr>
      <w:tr w:rsidR="00D70E02" w:rsidRPr="00B12B4E" w:rsidTr="002A7E36">
        <w:trPr>
          <w:jc w:val="center"/>
        </w:trPr>
        <w:tc>
          <w:tcPr>
            <w:cnfStyle w:val="001000000000" w:firstRow="0" w:lastRow="0" w:firstColumn="1" w:lastColumn="0" w:oddVBand="0" w:evenVBand="0" w:oddHBand="0" w:evenHBand="0" w:firstRowFirstColumn="0" w:firstRowLastColumn="0" w:lastRowFirstColumn="0" w:lastRowLastColumn="0"/>
            <w:tcW w:w="1254" w:type="dxa"/>
            <w:tcBorders>
              <w:top w:val="single" w:sz="4" w:space="0" w:color="auto"/>
              <w:left w:val="single" w:sz="8" w:space="0" w:color="000000" w:themeColor="text1"/>
              <w:bottom w:val="nil"/>
            </w:tcBorders>
          </w:tcPr>
          <w:p w:rsidR="00D70E02" w:rsidRPr="00B12B4E" w:rsidRDefault="00D70E02" w:rsidP="00943BED">
            <w:pPr>
              <w:spacing w:after="120"/>
              <w:rPr>
                <w:rFonts w:cs="Times New Roman"/>
                <w:b w:val="0"/>
                <w:sz w:val="20"/>
                <w:szCs w:val="20"/>
              </w:rPr>
            </w:pPr>
            <w:r w:rsidRPr="00B12B4E">
              <w:rPr>
                <w:rFonts w:cs="Times New Roman"/>
                <w:b w:val="0"/>
                <w:sz w:val="20"/>
                <w:szCs w:val="20"/>
              </w:rPr>
              <w:t>TSS (mg/L)</w:t>
            </w:r>
          </w:p>
        </w:tc>
        <w:tc>
          <w:tcPr>
            <w:tcW w:w="1221" w:type="dxa"/>
            <w:tcBorders>
              <w:top w:val="single" w:sz="4" w:space="0" w:color="auto"/>
              <w:left w:val="single" w:sz="4" w:space="0" w:color="auto"/>
              <w:bottom w:val="nil"/>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7.00 mg/L</w:t>
            </w:r>
          </w:p>
          <w:p w:rsidR="00D70E02" w:rsidRPr="00B12B4E" w:rsidRDefault="00D70E02" w:rsidP="000E675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 xml:space="preserve">n = </w:t>
            </w:r>
            <w:r>
              <w:rPr>
                <w:rFonts w:cs="Times New Roman"/>
                <w:sz w:val="20"/>
                <w:szCs w:val="20"/>
              </w:rPr>
              <w:t>95</w:t>
            </w:r>
          </w:p>
        </w:tc>
        <w:tc>
          <w:tcPr>
            <w:tcW w:w="1117" w:type="dxa"/>
            <w:tcBorders>
              <w:top w:val="single" w:sz="4" w:space="0" w:color="auto"/>
              <w:bottom w:val="nil"/>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6.9</w:t>
            </w:r>
            <w:r w:rsidRPr="00B12B4E">
              <w:rPr>
                <w:rFonts w:cs="Times New Roman"/>
                <w:sz w:val="20"/>
                <w:szCs w:val="20"/>
              </w:rPr>
              <w:t>0 mg/L</w:t>
            </w:r>
          </w:p>
          <w:p w:rsidR="00D70E02" w:rsidRPr="00B12B4E" w:rsidRDefault="00D70E02" w:rsidP="00857478">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n = 4</w:t>
            </w:r>
            <w:r>
              <w:rPr>
                <w:rFonts w:cs="Times New Roman"/>
                <w:sz w:val="20"/>
                <w:szCs w:val="20"/>
              </w:rPr>
              <w:t>0</w:t>
            </w:r>
          </w:p>
        </w:tc>
        <w:tc>
          <w:tcPr>
            <w:tcW w:w="1216" w:type="dxa"/>
            <w:tcBorders>
              <w:top w:val="single" w:sz="4" w:space="0" w:color="auto"/>
              <w:bottom w:val="nil"/>
              <w:right w:val="single" w:sz="8" w:space="0" w:color="000000" w:themeColor="text1"/>
            </w:tcBorders>
          </w:tcPr>
          <w:p w:rsidR="00D70E02" w:rsidRPr="00B12B4E"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P3 =  P4</w:t>
            </w:r>
          </w:p>
          <w:p w:rsidR="00D70E02" w:rsidRPr="00B12B4E"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 = 0.</w:t>
            </w:r>
            <w:r>
              <w:rPr>
                <w:rFonts w:cs="Times New Roman"/>
                <w:sz w:val="20"/>
                <w:szCs w:val="20"/>
              </w:rPr>
              <w:t>4435</w:t>
            </w:r>
          </w:p>
        </w:tc>
        <w:tc>
          <w:tcPr>
            <w:tcW w:w="1221" w:type="dxa"/>
            <w:tcBorders>
              <w:top w:val="single" w:sz="4" w:space="0" w:color="auto"/>
              <w:bottom w:val="nil"/>
              <w:right w:val="single" w:sz="8" w:space="0" w:color="000000" w:themeColor="text1"/>
            </w:tcBorders>
          </w:tcPr>
          <w:p w:rsidR="00D70E02" w:rsidRPr="00E7506D" w:rsidRDefault="00D70E02" w:rsidP="00C15747">
            <w:pPr>
              <w:spacing w:after="120"/>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i/>
                <w:sz w:val="20"/>
                <w:szCs w:val="20"/>
              </w:rPr>
              <w:t>-0.04089</w:t>
            </w:r>
          </w:p>
          <w:p w:rsidR="00D70E02" w:rsidRPr="00E7506D" w:rsidRDefault="00D70E02" w:rsidP="00C15747">
            <w:pPr>
              <w:spacing w:after="120"/>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E7506D">
              <w:rPr>
                <w:rFonts w:cs="Times New Roman"/>
                <w:i/>
                <w:sz w:val="20"/>
                <w:szCs w:val="20"/>
              </w:rPr>
              <w:t>p = 0.0359</w:t>
            </w:r>
          </w:p>
        </w:tc>
      </w:tr>
      <w:tr w:rsidR="00D70E02" w:rsidRPr="00B12B4E" w:rsidTr="002A7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4" w:type="dxa"/>
            <w:tcBorders>
              <w:top w:val="nil"/>
              <w:left w:val="single" w:sz="8" w:space="0" w:color="000000" w:themeColor="text1"/>
              <w:bottom w:val="nil"/>
            </w:tcBorders>
          </w:tcPr>
          <w:p w:rsidR="00D70E02" w:rsidRPr="00B12B4E" w:rsidRDefault="00D70E02" w:rsidP="00943BED">
            <w:pPr>
              <w:spacing w:after="120"/>
              <w:rPr>
                <w:rFonts w:cs="Times New Roman"/>
                <w:b w:val="0"/>
                <w:sz w:val="20"/>
                <w:szCs w:val="20"/>
              </w:rPr>
            </w:pPr>
            <w:r w:rsidRPr="00B12B4E">
              <w:rPr>
                <w:rFonts w:cs="Times New Roman"/>
                <w:b w:val="0"/>
                <w:sz w:val="20"/>
                <w:szCs w:val="20"/>
              </w:rPr>
              <w:t>TP (mg/L)</w:t>
            </w:r>
          </w:p>
        </w:tc>
        <w:tc>
          <w:tcPr>
            <w:tcW w:w="1221" w:type="dxa"/>
            <w:tcBorders>
              <w:top w:val="nil"/>
              <w:left w:val="single" w:sz="4" w:space="0" w:color="auto"/>
              <w:bottom w:val="nil"/>
            </w:tcBorders>
          </w:tcPr>
          <w:p w:rsidR="00D70E02" w:rsidRPr="00B12B4E" w:rsidRDefault="00D70E02" w:rsidP="00943BED">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0.14 mg/L</w:t>
            </w:r>
          </w:p>
          <w:p w:rsidR="00D70E02" w:rsidRPr="00B12B4E" w:rsidRDefault="00D70E02" w:rsidP="000E6759">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n</w:t>
            </w:r>
            <w:r>
              <w:rPr>
                <w:rFonts w:cs="Times New Roman"/>
                <w:sz w:val="20"/>
                <w:szCs w:val="20"/>
              </w:rPr>
              <w:t xml:space="preserve"> = 95</w:t>
            </w:r>
          </w:p>
        </w:tc>
        <w:tc>
          <w:tcPr>
            <w:tcW w:w="1117" w:type="dxa"/>
            <w:tcBorders>
              <w:top w:val="nil"/>
              <w:bottom w:val="nil"/>
            </w:tcBorders>
          </w:tcPr>
          <w:p w:rsidR="00D70E02" w:rsidRPr="00B12B4E" w:rsidRDefault="00D70E02" w:rsidP="00943BED">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0.1</w:t>
            </w:r>
            <w:r>
              <w:rPr>
                <w:rFonts w:cs="Times New Roman"/>
                <w:sz w:val="20"/>
                <w:szCs w:val="20"/>
              </w:rPr>
              <w:t>5</w:t>
            </w:r>
            <w:r w:rsidRPr="00B12B4E">
              <w:rPr>
                <w:rFonts w:cs="Times New Roman"/>
                <w:sz w:val="20"/>
                <w:szCs w:val="20"/>
              </w:rPr>
              <w:t xml:space="preserve"> mg/L</w:t>
            </w:r>
          </w:p>
          <w:p w:rsidR="00D70E02" w:rsidRPr="00B12B4E" w:rsidRDefault="00D70E02" w:rsidP="00857478">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n = 4</w:t>
            </w:r>
            <w:r>
              <w:rPr>
                <w:rFonts w:cs="Times New Roman"/>
                <w:sz w:val="20"/>
                <w:szCs w:val="20"/>
              </w:rPr>
              <w:t>0</w:t>
            </w:r>
          </w:p>
        </w:tc>
        <w:tc>
          <w:tcPr>
            <w:tcW w:w="1216" w:type="dxa"/>
            <w:tcBorders>
              <w:top w:val="nil"/>
              <w:bottom w:val="nil"/>
              <w:right w:val="single" w:sz="8" w:space="0" w:color="000000" w:themeColor="text1"/>
            </w:tcBorders>
          </w:tcPr>
          <w:p w:rsidR="00D70E02" w:rsidRPr="00B12B4E" w:rsidRDefault="00D70E02" w:rsidP="00656FF6">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P3 = P4</w:t>
            </w:r>
          </w:p>
          <w:p w:rsidR="00D70E02" w:rsidRPr="00B12B4E" w:rsidRDefault="00D70E02" w:rsidP="00656FF6">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p = 0.</w:t>
            </w:r>
            <w:r>
              <w:rPr>
                <w:rFonts w:cs="Times New Roman"/>
                <w:sz w:val="20"/>
                <w:szCs w:val="20"/>
              </w:rPr>
              <w:t>1838</w:t>
            </w:r>
          </w:p>
        </w:tc>
        <w:tc>
          <w:tcPr>
            <w:tcW w:w="1221" w:type="dxa"/>
            <w:tcBorders>
              <w:top w:val="nil"/>
              <w:bottom w:val="nil"/>
              <w:right w:val="single" w:sz="8" w:space="0" w:color="000000" w:themeColor="text1"/>
            </w:tcBorders>
          </w:tcPr>
          <w:p w:rsidR="00D70E02" w:rsidRDefault="00D70E02" w:rsidP="00C15747">
            <w:pPr>
              <w:spacing w:after="120"/>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Pr>
                <w:rFonts w:cs="Times New Roman"/>
                <w:i/>
                <w:sz w:val="20"/>
                <w:szCs w:val="20"/>
              </w:rPr>
              <w:t>-0.04342</w:t>
            </w:r>
          </w:p>
          <w:p w:rsidR="00D70E02" w:rsidRPr="00E7506D" w:rsidRDefault="00D70E02" w:rsidP="00C15747">
            <w:pPr>
              <w:spacing w:after="120"/>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E7506D">
              <w:rPr>
                <w:rFonts w:cs="Times New Roman"/>
                <w:i/>
                <w:sz w:val="20"/>
                <w:szCs w:val="20"/>
              </w:rPr>
              <w:t>p = 0.0096</w:t>
            </w:r>
          </w:p>
        </w:tc>
      </w:tr>
      <w:tr w:rsidR="00D70E02" w:rsidRPr="00B12B4E" w:rsidTr="002A7E36">
        <w:trPr>
          <w:jc w:val="center"/>
        </w:trPr>
        <w:tc>
          <w:tcPr>
            <w:cnfStyle w:val="001000000000" w:firstRow="0" w:lastRow="0" w:firstColumn="1" w:lastColumn="0" w:oddVBand="0" w:evenVBand="0" w:oddHBand="0" w:evenHBand="0" w:firstRowFirstColumn="0" w:firstRowLastColumn="0" w:lastRowFirstColumn="0" w:lastRowLastColumn="0"/>
            <w:tcW w:w="1254" w:type="dxa"/>
            <w:tcBorders>
              <w:top w:val="nil"/>
              <w:left w:val="single" w:sz="8" w:space="0" w:color="000000" w:themeColor="text1"/>
              <w:bottom w:val="nil"/>
            </w:tcBorders>
          </w:tcPr>
          <w:p w:rsidR="00D70E02" w:rsidRPr="00B12B4E" w:rsidRDefault="00D70E02" w:rsidP="00943BED">
            <w:pPr>
              <w:spacing w:after="120"/>
              <w:rPr>
                <w:rFonts w:cs="Times New Roman"/>
                <w:b w:val="0"/>
                <w:sz w:val="20"/>
                <w:szCs w:val="20"/>
              </w:rPr>
            </w:pPr>
            <w:r w:rsidRPr="00B12B4E">
              <w:rPr>
                <w:rFonts w:cs="Times New Roman"/>
                <w:b w:val="0"/>
                <w:sz w:val="20"/>
                <w:szCs w:val="20"/>
              </w:rPr>
              <w:t>DP (mg/L)</w:t>
            </w:r>
          </w:p>
        </w:tc>
        <w:tc>
          <w:tcPr>
            <w:tcW w:w="1221" w:type="dxa"/>
            <w:tcBorders>
              <w:top w:val="nil"/>
              <w:left w:val="single" w:sz="4" w:space="0" w:color="auto"/>
              <w:bottom w:val="nil"/>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0.1</w:t>
            </w:r>
            <w:r>
              <w:rPr>
                <w:rFonts w:cs="Times New Roman"/>
                <w:sz w:val="20"/>
                <w:szCs w:val="20"/>
              </w:rPr>
              <w:t>1</w:t>
            </w:r>
            <w:r w:rsidRPr="00B12B4E">
              <w:rPr>
                <w:rFonts w:cs="Times New Roman"/>
                <w:sz w:val="20"/>
                <w:szCs w:val="20"/>
              </w:rPr>
              <w:t xml:space="preserve"> mg/L</w:t>
            </w:r>
          </w:p>
          <w:p w:rsidR="00D70E02" w:rsidRPr="00B12B4E" w:rsidRDefault="00D70E02" w:rsidP="000E675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 xml:space="preserve">n = </w:t>
            </w:r>
            <w:r>
              <w:rPr>
                <w:rFonts w:cs="Times New Roman"/>
                <w:sz w:val="20"/>
                <w:szCs w:val="20"/>
              </w:rPr>
              <w:t>44</w:t>
            </w:r>
          </w:p>
        </w:tc>
        <w:tc>
          <w:tcPr>
            <w:tcW w:w="1117" w:type="dxa"/>
            <w:tcBorders>
              <w:top w:val="nil"/>
              <w:bottom w:val="nil"/>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0.0</w:t>
            </w:r>
            <w:r>
              <w:rPr>
                <w:rFonts w:cs="Times New Roman"/>
                <w:sz w:val="20"/>
                <w:szCs w:val="20"/>
              </w:rPr>
              <w:t>8</w:t>
            </w:r>
          </w:p>
          <w:p w:rsidR="00D70E02" w:rsidRPr="00B12B4E" w:rsidRDefault="00D70E02" w:rsidP="00FB640B">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n = 3</w:t>
            </w:r>
            <w:r>
              <w:rPr>
                <w:rFonts w:cs="Times New Roman"/>
                <w:sz w:val="20"/>
                <w:szCs w:val="20"/>
              </w:rPr>
              <w:t>3</w:t>
            </w:r>
          </w:p>
        </w:tc>
        <w:tc>
          <w:tcPr>
            <w:tcW w:w="1216" w:type="dxa"/>
            <w:tcBorders>
              <w:top w:val="nil"/>
              <w:bottom w:val="nil"/>
              <w:right w:val="single" w:sz="8" w:space="0" w:color="000000" w:themeColor="text1"/>
            </w:tcBorders>
          </w:tcPr>
          <w:p w:rsidR="00D70E02" w:rsidRPr="00B12B4E"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P3 = P4</w:t>
            </w:r>
          </w:p>
          <w:p w:rsidR="00D70E02" w:rsidRPr="00B12B4E"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 = 0.</w:t>
            </w:r>
            <w:r>
              <w:rPr>
                <w:rFonts w:cs="Times New Roman"/>
                <w:sz w:val="20"/>
                <w:szCs w:val="20"/>
              </w:rPr>
              <w:t>1626</w:t>
            </w:r>
          </w:p>
        </w:tc>
        <w:tc>
          <w:tcPr>
            <w:tcW w:w="1221" w:type="dxa"/>
            <w:tcBorders>
              <w:top w:val="nil"/>
              <w:bottom w:val="nil"/>
              <w:right w:val="single" w:sz="8" w:space="0" w:color="000000" w:themeColor="text1"/>
            </w:tcBorders>
          </w:tcPr>
          <w:p w:rsidR="00D70E02" w:rsidRPr="00E7506D" w:rsidRDefault="00D70E02" w:rsidP="00C15747">
            <w:pPr>
              <w:spacing w:after="120"/>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i/>
                <w:sz w:val="20"/>
                <w:szCs w:val="20"/>
              </w:rPr>
              <w:t>-0.04415</w:t>
            </w:r>
          </w:p>
          <w:p w:rsidR="00D70E02" w:rsidRPr="00E7506D" w:rsidRDefault="00D70E02" w:rsidP="00C15747">
            <w:pPr>
              <w:spacing w:after="120"/>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E7506D">
              <w:rPr>
                <w:rFonts w:cs="Times New Roman"/>
                <w:i/>
                <w:sz w:val="20"/>
                <w:szCs w:val="20"/>
              </w:rPr>
              <w:t>p = 0.0299</w:t>
            </w:r>
          </w:p>
        </w:tc>
      </w:tr>
      <w:tr w:rsidR="00D70E02" w:rsidRPr="00B12B4E" w:rsidTr="002A7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4" w:type="dxa"/>
            <w:tcBorders>
              <w:top w:val="single" w:sz="4" w:space="0" w:color="auto"/>
              <w:left w:val="single" w:sz="8" w:space="0" w:color="000000" w:themeColor="text1"/>
            </w:tcBorders>
          </w:tcPr>
          <w:p w:rsidR="00D70E02" w:rsidRPr="00B12B4E" w:rsidRDefault="00D70E02" w:rsidP="00943BED">
            <w:pPr>
              <w:spacing w:after="120"/>
              <w:rPr>
                <w:rFonts w:cs="Times New Roman"/>
                <w:b w:val="0"/>
                <w:sz w:val="20"/>
                <w:szCs w:val="20"/>
              </w:rPr>
            </w:pPr>
            <w:r w:rsidRPr="00B12B4E">
              <w:rPr>
                <w:rFonts w:cs="Times New Roman"/>
                <w:b w:val="0"/>
                <w:sz w:val="20"/>
                <w:szCs w:val="20"/>
              </w:rPr>
              <w:t>DP/TP ratio</w:t>
            </w:r>
          </w:p>
        </w:tc>
        <w:tc>
          <w:tcPr>
            <w:tcW w:w="1221" w:type="dxa"/>
            <w:tcBorders>
              <w:top w:val="single" w:sz="4" w:space="0" w:color="auto"/>
              <w:left w:val="single" w:sz="8" w:space="0" w:color="000000" w:themeColor="text1"/>
            </w:tcBorders>
          </w:tcPr>
          <w:p w:rsidR="00D70E02" w:rsidRPr="00B12B4E" w:rsidRDefault="00D70E02" w:rsidP="00943BED">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0.7</w:t>
            </w:r>
            <w:r>
              <w:rPr>
                <w:rFonts w:cs="Times New Roman"/>
                <w:sz w:val="20"/>
                <w:szCs w:val="20"/>
              </w:rPr>
              <w:t>4</w:t>
            </w:r>
          </w:p>
          <w:p w:rsidR="00D70E02" w:rsidRPr="00B12B4E" w:rsidRDefault="00D70E02" w:rsidP="000E6759">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 xml:space="preserve">n = </w:t>
            </w:r>
            <w:r>
              <w:rPr>
                <w:rFonts w:cs="Times New Roman"/>
                <w:sz w:val="20"/>
                <w:szCs w:val="20"/>
              </w:rPr>
              <w:t>44</w:t>
            </w:r>
          </w:p>
        </w:tc>
        <w:tc>
          <w:tcPr>
            <w:tcW w:w="1117" w:type="dxa"/>
            <w:tcBorders>
              <w:top w:val="single" w:sz="4" w:space="0" w:color="auto"/>
            </w:tcBorders>
          </w:tcPr>
          <w:p w:rsidR="00D70E02" w:rsidRPr="00B12B4E" w:rsidRDefault="00D70E02" w:rsidP="00943BED">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0.7</w:t>
            </w:r>
            <w:r>
              <w:rPr>
                <w:rFonts w:cs="Times New Roman"/>
                <w:sz w:val="20"/>
                <w:szCs w:val="20"/>
              </w:rPr>
              <w:t>9</w:t>
            </w:r>
          </w:p>
          <w:p w:rsidR="00D70E02" w:rsidRPr="00B12B4E" w:rsidRDefault="00D70E02" w:rsidP="00FB640B">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n = 3</w:t>
            </w:r>
            <w:r>
              <w:rPr>
                <w:rFonts w:cs="Times New Roman"/>
                <w:sz w:val="20"/>
                <w:szCs w:val="20"/>
              </w:rPr>
              <w:t>3</w:t>
            </w:r>
          </w:p>
        </w:tc>
        <w:tc>
          <w:tcPr>
            <w:tcW w:w="1216" w:type="dxa"/>
            <w:tcBorders>
              <w:top w:val="single" w:sz="4" w:space="0" w:color="auto"/>
              <w:right w:val="single" w:sz="8" w:space="0" w:color="000000" w:themeColor="text1"/>
            </w:tcBorders>
          </w:tcPr>
          <w:p w:rsidR="00D70E02" w:rsidRPr="00B12B4E" w:rsidRDefault="00D70E02" w:rsidP="00656FF6">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P3 = P4</w:t>
            </w:r>
          </w:p>
          <w:p w:rsidR="00D70E02" w:rsidRPr="00B12B4E" w:rsidRDefault="00D70E02" w:rsidP="00656FF6">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12B4E">
              <w:rPr>
                <w:rFonts w:cs="Times New Roman"/>
                <w:sz w:val="20"/>
                <w:szCs w:val="20"/>
              </w:rPr>
              <w:t>p = 0.</w:t>
            </w:r>
            <w:r>
              <w:rPr>
                <w:rFonts w:cs="Times New Roman"/>
                <w:sz w:val="20"/>
                <w:szCs w:val="20"/>
              </w:rPr>
              <w:t>9427</w:t>
            </w:r>
          </w:p>
        </w:tc>
        <w:tc>
          <w:tcPr>
            <w:tcW w:w="1221" w:type="dxa"/>
            <w:tcBorders>
              <w:top w:val="single" w:sz="4" w:space="0" w:color="auto"/>
              <w:right w:val="single" w:sz="8" w:space="0" w:color="000000" w:themeColor="text1"/>
            </w:tcBorders>
          </w:tcPr>
          <w:p w:rsidR="00D70E02" w:rsidRPr="00B12B4E" w:rsidRDefault="00D70E02" w:rsidP="00943BED">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D70E02" w:rsidRPr="002F16BE" w:rsidTr="002A7E36">
        <w:trPr>
          <w:jc w:val="center"/>
        </w:trPr>
        <w:tc>
          <w:tcPr>
            <w:cnfStyle w:val="001000000000" w:firstRow="0" w:lastRow="0" w:firstColumn="1" w:lastColumn="0" w:oddVBand="0" w:evenVBand="0" w:oddHBand="0" w:evenHBand="0" w:firstRowFirstColumn="0" w:firstRowLastColumn="0" w:lastRowFirstColumn="0" w:lastRowLastColumn="0"/>
            <w:tcW w:w="1254" w:type="dxa"/>
            <w:tcBorders>
              <w:left w:val="single" w:sz="8" w:space="0" w:color="000000" w:themeColor="text1"/>
              <w:bottom w:val="single" w:sz="8" w:space="0" w:color="000000" w:themeColor="text1"/>
            </w:tcBorders>
          </w:tcPr>
          <w:p w:rsidR="00D70E02" w:rsidRPr="00B12B4E" w:rsidRDefault="00D70E02" w:rsidP="00943BED">
            <w:pPr>
              <w:spacing w:after="120"/>
              <w:rPr>
                <w:rFonts w:cs="Times New Roman"/>
                <w:b w:val="0"/>
                <w:sz w:val="20"/>
                <w:szCs w:val="20"/>
              </w:rPr>
            </w:pPr>
            <w:r w:rsidRPr="00B12B4E">
              <w:rPr>
                <w:rFonts w:cs="Times New Roman"/>
                <w:b w:val="0"/>
                <w:sz w:val="20"/>
                <w:szCs w:val="20"/>
              </w:rPr>
              <w:t>Flow (cfs)</w:t>
            </w:r>
          </w:p>
        </w:tc>
        <w:tc>
          <w:tcPr>
            <w:tcW w:w="1221" w:type="dxa"/>
            <w:tcBorders>
              <w:left w:val="single" w:sz="8" w:space="0" w:color="000000" w:themeColor="text1"/>
              <w:bottom w:val="single" w:sz="8" w:space="0" w:color="000000" w:themeColor="text1"/>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1</w:t>
            </w:r>
            <w:r>
              <w:rPr>
                <w:rFonts w:cs="Times New Roman"/>
                <w:sz w:val="20"/>
                <w:szCs w:val="20"/>
              </w:rPr>
              <w:t>2</w:t>
            </w:r>
            <w:r w:rsidRPr="00B12B4E">
              <w:rPr>
                <w:rFonts w:cs="Times New Roman"/>
                <w:sz w:val="20"/>
                <w:szCs w:val="20"/>
              </w:rPr>
              <w:t>.0</w:t>
            </w:r>
          </w:p>
          <w:p w:rsidR="00D70E02" w:rsidRPr="00B12B4E" w:rsidRDefault="00D70E02" w:rsidP="000E675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 xml:space="preserve">n = </w:t>
            </w:r>
            <w:r>
              <w:rPr>
                <w:rFonts w:cs="Times New Roman"/>
                <w:sz w:val="20"/>
                <w:szCs w:val="20"/>
              </w:rPr>
              <w:t>95</w:t>
            </w:r>
          </w:p>
        </w:tc>
        <w:tc>
          <w:tcPr>
            <w:tcW w:w="1117" w:type="dxa"/>
            <w:tcBorders>
              <w:bottom w:val="single" w:sz="8" w:space="0" w:color="000000" w:themeColor="text1"/>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3</w:t>
            </w:r>
            <w:r>
              <w:rPr>
                <w:rFonts w:cs="Times New Roman"/>
                <w:sz w:val="20"/>
                <w:szCs w:val="20"/>
              </w:rPr>
              <w:t>4</w:t>
            </w:r>
          </w:p>
          <w:p w:rsidR="00D70E02" w:rsidRPr="00B12B4E" w:rsidRDefault="00D70E02" w:rsidP="00FB640B">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n = 4</w:t>
            </w:r>
            <w:r>
              <w:rPr>
                <w:rFonts w:cs="Times New Roman"/>
                <w:sz w:val="20"/>
                <w:szCs w:val="20"/>
              </w:rPr>
              <w:t>0</w:t>
            </w:r>
          </w:p>
        </w:tc>
        <w:tc>
          <w:tcPr>
            <w:tcW w:w="1216" w:type="dxa"/>
            <w:tcBorders>
              <w:bottom w:val="single" w:sz="8" w:space="0" w:color="000000" w:themeColor="text1"/>
              <w:right w:val="single" w:sz="8" w:space="0" w:color="000000" w:themeColor="text1"/>
            </w:tcBorders>
          </w:tcPr>
          <w:p w:rsidR="00D70E02" w:rsidRPr="00B12B4E"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P3 = P4</w:t>
            </w:r>
          </w:p>
          <w:p w:rsidR="00D70E02" w:rsidRPr="008B0719" w:rsidRDefault="00D70E02" w:rsidP="00656FF6">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12B4E">
              <w:rPr>
                <w:rFonts w:cs="Times New Roman"/>
                <w:sz w:val="20"/>
                <w:szCs w:val="20"/>
              </w:rPr>
              <w:t>p = 0.</w:t>
            </w:r>
            <w:r>
              <w:rPr>
                <w:rFonts w:cs="Times New Roman"/>
                <w:sz w:val="20"/>
                <w:szCs w:val="20"/>
              </w:rPr>
              <w:t>1727</w:t>
            </w:r>
          </w:p>
        </w:tc>
        <w:tc>
          <w:tcPr>
            <w:tcW w:w="1221" w:type="dxa"/>
            <w:tcBorders>
              <w:bottom w:val="single" w:sz="8" w:space="0" w:color="000000" w:themeColor="text1"/>
              <w:right w:val="single" w:sz="8" w:space="0" w:color="000000" w:themeColor="text1"/>
            </w:tcBorders>
          </w:tcPr>
          <w:p w:rsidR="00D70E02" w:rsidRPr="00B12B4E" w:rsidRDefault="00D70E02" w:rsidP="00943BED">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rsidR="0092770A" w:rsidRDefault="0092770A">
      <w:pPr>
        <w:spacing w:after="200" w:line="276" w:lineRule="auto"/>
        <w:rPr>
          <w:rFonts w:eastAsiaTheme="majorEastAsia" w:cstheme="majorBidi"/>
          <w:b/>
          <w:bCs/>
        </w:rPr>
      </w:pPr>
    </w:p>
    <w:p w:rsidR="0092770A" w:rsidRDefault="0092770A">
      <w:pPr>
        <w:spacing w:after="200" w:line="276" w:lineRule="auto"/>
        <w:rPr>
          <w:rFonts w:eastAsiaTheme="majorEastAsia" w:cstheme="majorBidi"/>
          <w:b/>
          <w:bCs/>
        </w:rPr>
      </w:pPr>
      <w:r>
        <w:rPr>
          <w:rFonts w:eastAsiaTheme="majorEastAsia" w:cstheme="majorBidi"/>
          <w:b/>
          <w:bCs/>
        </w:rPr>
        <w:br w:type="page"/>
      </w:r>
    </w:p>
    <w:p w:rsidR="00D72089" w:rsidRPr="00113489" w:rsidRDefault="00066427" w:rsidP="00D72089">
      <w:pPr>
        <w:pStyle w:val="Heading3"/>
        <w:rPr>
          <w:b/>
          <w:i w:val="0"/>
          <w:u w:val="none"/>
        </w:rPr>
      </w:pPr>
      <w:r>
        <w:rPr>
          <w:b/>
          <w:i w:val="0"/>
          <w:u w:val="none"/>
        </w:rPr>
        <w:lastRenderedPageBreak/>
        <w:t xml:space="preserve">Has the TMDL Total Phosphorus Target Been </w:t>
      </w:r>
      <w:r w:rsidR="007D276A" w:rsidRPr="00113489">
        <w:rPr>
          <w:b/>
          <w:i w:val="0"/>
          <w:u w:val="none"/>
        </w:rPr>
        <w:t>Achieve</w:t>
      </w:r>
      <w:r>
        <w:rPr>
          <w:b/>
          <w:i w:val="0"/>
          <w:u w:val="none"/>
        </w:rPr>
        <w:t>d?</w:t>
      </w:r>
      <w:r w:rsidR="0070250C" w:rsidRPr="00113489">
        <w:rPr>
          <w:b/>
          <w:i w:val="0"/>
          <w:u w:val="none"/>
        </w:rPr>
        <w:t xml:space="preserve"> </w:t>
      </w:r>
    </w:p>
    <w:p w:rsidR="00BA1AEB" w:rsidRDefault="00D72089" w:rsidP="00770258">
      <w:pPr>
        <w:spacing w:after="200"/>
        <w:ind w:firstLine="720"/>
        <w:rPr>
          <w:rFonts w:cs="Times New Roman"/>
        </w:rPr>
      </w:pPr>
      <w:r w:rsidRPr="00D72089">
        <w:rPr>
          <w:rFonts w:cs="Times New Roman"/>
        </w:rPr>
        <w:t xml:space="preserve">A secondary objective </w:t>
      </w:r>
      <w:r>
        <w:rPr>
          <w:rFonts w:cs="Times New Roman"/>
        </w:rPr>
        <w:t xml:space="preserve">of this study was </w:t>
      </w:r>
      <w:r w:rsidRPr="00D72089">
        <w:rPr>
          <w:rFonts w:cs="Times New Roman"/>
        </w:rPr>
        <w:t xml:space="preserve">to determine whether the total phosphorus concentrations </w:t>
      </w:r>
      <w:r>
        <w:rPr>
          <w:rFonts w:cs="Times New Roman"/>
        </w:rPr>
        <w:t xml:space="preserve">in Duck Creek </w:t>
      </w:r>
      <w:r w:rsidRPr="00D72089">
        <w:rPr>
          <w:rFonts w:cs="Times New Roman"/>
        </w:rPr>
        <w:t xml:space="preserve">are at or below the TMDL target of 0.075 mg/L.  </w:t>
      </w:r>
      <w:r>
        <w:rPr>
          <w:rFonts w:cs="Times New Roman"/>
        </w:rPr>
        <w:t>To accomplish this objective, the SAS statistical software package was applied to the phosphorus concentration data that had been obtained from water samples collected after June 2010.  Only samples col</w:t>
      </w:r>
      <w:r w:rsidR="00E20486">
        <w:rPr>
          <w:rFonts w:cs="Times New Roman"/>
        </w:rPr>
        <w:t xml:space="preserve">lected from May through October, and with total phosphorus concentrations less than 1.3 mg/L </w:t>
      </w:r>
      <w:r>
        <w:rPr>
          <w:rFonts w:cs="Times New Roman"/>
        </w:rPr>
        <w:t>were included in th</w:t>
      </w:r>
      <w:r w:rsidR="00422209">
        <w:rPr>
          <w:rFonts w:cs="Times New Roman"/>
        </w:rPr>
        <w:t xml:space="preserve">is </w:t>
      </w:r>
      <w:r>
        <w:rPr>
          <w:rFonts w:cs="Times New Roman"/>
        </w:rPr>
        <w:t xml:space="preserve">analysis.  </w:t>
      </w:r>
      <w:r w:rsidRPr="00281794">
        <w:rPr>
          <w:rFonts w:cs="Times New Roman"/>
          <w:u w:val="single"/>
        </w:rPr>
        <w:t>A median concentration of 0.</w:t>
      </w:r>
      <w:r w:rsidR="00761CEA" w:rsidRPr="00281794">
        <w:rPr>
          <w:rFonts w:cs="Times New Roman"/>
          <w:u w:val="single"/>
        </w:rPr>
        <w:t>17</w:t>
      </w:r>
      <w:r w:rsidR="00783D10" w:rsidRPr="00281794">
        <w:rPr>
          <w:rFonts w:cs="Times New Roman"/>
          <w:u w:val="single"/>
        </w:rPr>
        <w:t>9</w:t>
      </w:r>
      <w:r w:rsidRPr="00281794">
        <w:rPr>
          <w:rFonts w:cs="Times New Roman"/>
          <w:u w:val="single"/>
        </w:rPr>
        <w:t xml:space="preserve"> mg/L total phosphorus was determined through this analysis </w:t>
      </w:r>
      <w:r w:rsidR="009D66E2">
        <w:rPr>
          <w:rFonts w:cs="Times New Roman"/>
          <w:u w:val="single"/>
        </w:rPr>
        <w:t xml:space="preserve">of May through October samples </w:t>
      </w:r>
      <w:r w:rsidRPr="00281794">
        <w:rPr>
          <w:rFonts w:cs="Times New Roman"/>
          <w:u w:val="single"/>
        </w:rPr>
        <w:t xml:space="preserve">(n = </w:t>
      </w:r>
      <w:r w:rsidR="00DD2EFC" w:rsidRPr="00281794">
        <w:rPr>
          <w:rFonts w:cs="Times New Roman"/>
          <w:u w:val="single"/>
        </w:rPr>
        <w:t>2</w:t>
      </w:r>
      <w:r w:rsidR="00783D10" w:rsidRPr="00281794">
        <w:rPr>
          <w:rFonts w:cs="Times New Roman"/>
          <w:u w:val="single"/>
        </w:rPr>
        <w:t>3</w:t>
      </w:r>
      <w:r w:rsidRPr="00281794">
        <w:rPr>
          <w:rFonts w:cs="Times New Roman"/>
          <w:u w:val="single"/>
        </w:rPr>
        <w:t xml:space="preserve">). </w:t>
      </w:r>
      <w:r w:rsidR="00BA1AEB" w:rsidRPr="00281794">
        <w:rPr>
          <w:rFonts w:cs="Times New Roman"/>
          <w:u w:val="single"/>
        </w:rPr>
        <w:t xml:space="preserve"> Therefore, total phosphorus concentrations in Duck Creek are </w:t>
      </w:r>
      <w:r w:rsidR="00422209" w:rsidRPr="00281794">
        <w:rPr>
          <w:rFonts w:cs="Times New Roman"/>
          <w:u w:val="single"/>
        </w:rPr>
        <w:t xml:space="preserve">well above </w:t>
      </w:r>
      <w:r w:rsidR="00BA1AEB" w:rsidRPr="00281794">
        <w:rPr>
          <w:rFonts w:cs="Times New Roman"/>
          <w:u w:val="single"/>
        </w:rPr>
        <w:t>the TMDL target of 0.075 mg/L</w:t>
      </w:r>
      <w:r w:rsidR="00BA1AEB">
        <w:rPr>
          <w:rFonts w:cs="Times New Roman"/>
        </w:rPr>
        <w:t>.</w:t>
      </w:r>
      <w:r w:rsidR="00761CEA">
        <w:rPr>
          <w:rFonts w:cs="Times New Roman"/>
        </w:rPr>
        <w:t xml:space="preserve">  </w:t>
      </w:r>
      <w:r w:rsidR="00783D10">
        <w:rPr>
          <w:rFonts w:cs="Times New Roman"/>
        </w:rPr>
        <w:t>The mean concentration of total phosphorus was 0.183 mg/L.</w:t>
      </w:r>
      <w:r w:rsidR="00210F50">
        <w:rPr>
          <w:rFonts w:cs="Times New Roman"/>
        </w:rPr>
        <w:t xml:space="preserve">  </w:t>
      </w:r>
      <w:r w:rsidR="00D631C3">
        <w:rPr>
          <w:rFonts w:cs="Times New Roman"/>
        </w:rPr>
        <w:t xml:space="preserve">However, </w:t>
      </w:r>
      <w:r w:rsidR="00F864F3">
        <w:rPr>
          <w:rFonts w:cs="Times New Roman"/>
        </w:rPr>
        <w:t xml:space="preserve">during the entire period of record, </w:t>
      </w:r>
      <w:r w:rsidR="00D631C3">
        <w:rPr>
          <w:rFonts w:cs="Times New Roman"/>
        </w:rPr>
        <w:t>tot</w:t>
      </w:r>
      <w:r w:rsidR="00F864F3">
        <w:rPr>
          <w:rFonts w:cs="Times New Roman"/>
        </w:rPr>
        <w:t xml:space="preserve">al phosphorus concentrations near or below </w:t>
      </w:r>
      <w:r w:rsidR="00D631C3">
        <w:rPr>
          <w:rFonts w:cs="Times New Roman"/>
        </w:rPr>
        <w:t xml:space="preserve">the TMDL target of 0.075 mg/L </w:t>
      </w:r>
      <w:r w:rsidR="00210F50">
        <w:rPr>
          <w:rFonts w:cs="Times New Roman"/>
        </w:rPr>
        <w:t>were</w:t>
      </w:r>
      <w:r w:rsidR="00D631C3">
        <w:rPr>
          <w:rFonts w:cs="Times New Roman"/>
        </w:rPr>
        <w:t xml:space="preserve"> </w:t>
      </w:r>
      <w:r w:rsidR="00F864F3">
        <w:rPr>
          <w:rFonts w:cs="Times New Roman"/>
        </w:rPr>
        <w:t>not rare</w:t>
      </w:r>
      <w:r w:rsidR="00D631C3">
        <w:rPr>
          <w:rFonts w:cs="Times New Roman"/>
        </w:rPr>
        <w:t>.</w:t>
      </w:r>
    </w:p>
    <w:p w:rsidR="00BA1AEB" w:rsidRDefault="00D72089" w:rsidP="00770258">
      <w:pPr>
        <w:spacing w:after="200"/>
        <w:ind w:firstLine="720"/>
        <w:rPr>
          <w:rFonts w:cs="Times New Roman"/>
        </w:rPr>
      </w:pPr>
      <w:r>
        <w:rPr>
          <w:rFonts w:cs="Times New Roman"/>
        </w:rPr>
        <w:t xml:space="preserve">A </w:t>
      </w:r>
      <w:r w:rsidRPr="00D72089">
        <w:rPr>
          <w:rFonts w:cs="Times New Roman"/>
        </w:rPr>
        <w:t>median concentration of 0.</w:t>
      </w:r>
      <w:r>
        <w:rPr>
          <w:rFonts w:cs="Times New Roman"/>
        </w:rPr>
        <w:t>1</w:t>
      </w:r>
      <w:r w:rsidR="00783D10">
        <w:rPr>
          <w:rFonts w:cs="Times New Roman"/>
        </w:rPr>
        <w:t>15</w:t>
      </w:r>
      <w:r>
        <w:rPr>
          <w:rFonts w:cs="Times New Roman"/>
        </w:rPr>
        <w:t xml:space="preserve"> m</w:t>
      </w:r>
      <w:r w:rsidRPr="00D72089">
        <w:rPr>
          <w:rFonts w:cs="Times New Roman"/>
        </w:rPr>
        <w:t xml:space="preserve">g/L total </w:t>
      </w:r>
      <w:r>
        <w:rPr>
          <w:rFonts w:cs="Times New Roman"/>
        </w:rPr>
        <w:t xml:space="preserve">dissolved </w:t>
      </w:r>
      <w:r w:rsidRPr="00D72089">
        <w:rPr>
          <w:rFonts w:cs="Times New Roman"/>
        </w:rPr>
        <w:t xml:space="preserve">phosphorus </w:t>
      </w:r>
      <w:r>
        <w:rPr>
          <w:rFonts w:cs="Times New Roman"/>
        </w:rPr>
        <w:t>was determined through this analysis (n = 1</w:t>
      </w:r>
      <w:r w:rsidR="00783D10">
        <w:rPr>
          <w:rFonts w:cs="Times New Roman"/>
        </w:rPr>
        <w:t>9</w:t>
      </w:r>
      <w:r>
        <w:rPr>
          <w:rFonts w:cs="Times New Roman"/>
        </w:rPr>
        <w:t>)</w:t>
      </w:r>
      <w:r w:rsidR="007D276A">
        <w:rPr>
          <w:rFonts w:cs="Times New Roman"/>
        </w:rPr>
        <w:t>, so the majority of phosphorus present in the water samples was in the dissolved form</w:t>
      </w:r>
      <w:r>
        <w:rPr>
          <w:rFonts w:cs="Times New Roman"/>
        </w:rPr>
        <w:t xml:space="preserve">.  </w:t>
      </w:r>
      <w:r w:rsidR="00FD248C">
        <w:rPr>
          <w:rFonts w:cs="Times New Roman"/>
        </w:rPr>
        <w:t>To test whether runoff events affected the</w:t>
      </w:r>
      <w:r w:rsidR="00281794">
        <w:rPr>
          <w:rFonts w:cs="Times New Roman"/>
        </w:rPr>
        <w:t>se</w:t>
      </w:r>
      <w:r w:rsidR="00FD248C">
        <w:rPr>
          <w:rFonts w:cs="Times New Roman"/>
        </w:rPr>
        <w:t xml:space="preserve"> results, only </w:t>
      </w:r>
      <w:r w:rsidR="00D87FE5">
        <w:rPr>
          <w:rFonts w:cs="Times New Roman"/>
        </w:rPr>
        <w:t xml:space="preserve">samples </w:t>
      </w:r>
      <w:r w:rsidR="00BA1AEB">
        <w:rPr>
          <w:rFonts w:cs="Times New Roman"/>
        </w:rPr>
        <w:t xml:space="preserve">collected </w:t>
      </w:r>
      <w:r w:rsidR="00D87FE5">
        <w:rPr>
          <w:rFonts w:cs="Times New Roman"/>
        </w:rPr>
        <w:t>when stream discharge was less than 2</w:t>
      </w:r>
      <w:r w:rsidR="00210F50">
        <w:rPr>
          <w:rFonts w:cs="Times New Roman"/>
        </w:rPr>
        <w:t>5</w:t>
      </w:r>
      <w:r w:rsidR="00D87FE5">
        <w:rPr>
          <w:rFonts w:cs="Times New Roman"/>
        </w:rPr>
        <w:t xml:space="preserve"> cfs</w:t>
      </w:r>
      <w:r w:rsidR="00FD248C">
        <w:rPr>
          <w:rFonts w:cs="Times New Roman"/>
        </w:rPr>
        <w:t xml:space="preserve"> were included in a second</w:t>
      </w:r>
      <w:r w:rsidR="008E5960">
        <w:rPr>
          <w:rFonts w:cs="Times New Roman"/>
        </w:rPr>
        <w:t>ary</w:t>
      </w:r>
      <w:r w:rsidR="00FD248C">
        <w:rPr>
          <w:rFonts w:cs="Times New Roman"/>
        </w:rPr>
        <w:t xml:space="preserve"> analysis which found median concentrations of 0.1</w:t>
      </w:r>
      <w:r w:rsidR="00E20486">
        <w:rPr>
          <w:rFonts w:cs="Times New Roman"/>
        </w:rPr>
        <w:t>82</w:t>
      </w:r>
      <w:r w:rsidR="00FD248C">
        <w:rPr>
          <w:rFonts w:cs="Times New Roman"/>
        </w:rPr>
        <w:t xml:space="preserve"> mg/L total phosphorus (n = 1</w:t>
      </w:r>
      <w:r w:rsidR="001A03C5">
        <w:rPr>
          <w:rFonts w:cs="Times New Roman"/>
        </w:rPr>
        <w:t>5</w:t>
      </w:r>
      <w:r w:rsidR="00FD248C">
        <w:rPr>
          <w:rFonts w:cs="Times New Roman"/>
        </w:rPr>
        <w:t xml:space="preserve">) and </w:t>
      </w:r>
      <w:r w:rsidR="00E20486">
        <w:rPr>
          <w:rFonts w:cs="Times New Roman"/>
        </w:rPr>
        <w:t xml:space="preserve">0.143 mg/L </w:t>
      </w:r>
      <w:r w:rsidR="00FD248C">
        <w:rPr>
          <w:rFonts w:cs="Times New Roman"/>
        </w:rPr>
        <w:t>total dissolved phosphorus (n = 1</w:t>
      </w:r>
      <w:r w:rsidR="00E20486">
        <w:rPr>
          <w:rFonts w:cs="Times New Roman"/>
        </w:rPr>
        <w:t>3</w:t>
      </w:r>
      <w:r w:rsidR="00FD248C">
        <w:rPr>
          <w:rFonts w:cs="Times New Roman"/>
        </w:rPr>
        <w:t>), respectively</w:t>
      </w:r>
      <w:r w:rsidR="00D87FE5">
        <w:rPr>
          <w:rFonts w:cs="Times New Roman"/>
        </w:rPr>
        <w:t>.</w:t>
      </w:r>
      <w:r w:rsidR="00422209">
        <w:rPr>
          <w:rFonts w:cs="Times New Roman"/>
        </w:rPr>
        <w:t xml:space="preserve">  </w:t>
      </w:r>
      <w:r w:rsidR="00281794">
        <w:rPr>
          <w:rFonts w:cs="Times New Roman"/>
        </w:rPr>
        <w:t>To test whether excluding samples with high phosphorus concentrations affected these results, all</w:t>
      </w:r>
      <w:r w:rsidR="009D66E2">
        <w:rPr>
          <w:rFonts w:cs="Times New Roman"/>
        </w:rPr>
        <w:t xml:space="preserve"> such</w:t>
      </w:r>
      <w:r w:rsidR="00281794">
        <w:rPr>
          <w:rFonts w:cs="Times New Roman"/>
        </w:rPr>
        <w:t xml:space="preserve"> samples were included in another analysis which found median concentrations of 0.193 mg/L total phosphorus (n = 26) and 0.122 mg/L total dissolved phosphorus (n = 21), respectively.  </w:t>
      </w:r>
      <w:r w:rsidR="00422209">
        <w:rPr>
          <w:rFonts w:cs="Times New Roman"/>
        </w:rPr>
        <w:t xml:space="preserve">Therefore, </w:t>
      </w:r>
      <w:r w:rsidR="00FD248C">
        <w:rPr>
          <w:rFonts w:cs="Times New Roman"/>
        </w:rPr>
        <w:t>the</w:t>
      </w:r>
      <w:r w:rsidR="004448D1">
        <w:rPr>
          <w:rFonts w:cs="Times New Roman"/>
        </w:rPr>
        <w:t>se</w:t>
      </w:r>
      <w:r w:rsidR="00FD248C">
        <w:rPr>
          <w:rFonts w:cs="Times New Roman"/>
        </w:rPr>
        <w:t xml:space="preserve"> results did not appear to be </w:t>
      </w:r>
      <w:r w:rsidR="00281794">
        <w:rPr>
          <w:rFonts w:cs="Times New Roman"/>
        </w:rPr>
        <w:t>greatly</w:t>
      </w:r>
      <w:r w:rsidR="00FD248C">
        <w:rPr>
          <w:rFonts w:cs="Times New Roman"/>
        </w:rPr>
        <w:t xml:space="preserve"> influenced by large runoff events</w:t>
      </w:r>
      <w:r w:rsidR="00281794">
        <w:rPr>
          <w:rFonts w:cs="Times New Roman"/>
        </w:rPr>
        <w:t>, or whether samples with high phosphorus concentrations were excluded from the analysis.</w:t>
      </w:r>
    </w:p>
    <w:p w:rsidR="00BA1AEB" w:rsidRDefault="00BA1AEB" w:rsidP="00D72089">
      <w:pPr>
        <w:spacing w:after="200" w:line="276" w:lineRule="auto"/>
        <w:rPr>
          <w:rFonts w:cs="Times New Roman"/>
        </w:rPr>
      </w:pPr>
    </w:p>
    <w:p w:rsidR="006E3431" w:rsidRDefault="006E3431" w:rsidP="00D72089">
      <w:pPr>
        <w:spacing w:after="200" w:line="276" w:lineRule="auto"/>
        <w:rPr>
          <w:rFonts w:cs="Times New Roman"/>
        </w:rPr>
      </w:pPr>
      <w:r>
        <w:rPr>
          <w:rFonts w:cs="Times New Roman"/>
        </w:rPr>
        <w:br w:type="page"/>
      </w:r>
    </w:p>
    <w:p w:rsidR="00F07940" w:rsidRDefault="0054281E" w:rsidP="003621AA">
      <w:pPr>
        <w:pStyle w:val="Heading1"/>
      </w:pPr>
      <w:bookmarkStart w:id="25" w:name="_Toc238837839"/>
      <w:r w:rsidRPr="0000404D">
        <w:lastRenderedPageBreak/>
        <w:t>– PROJECT SUMMARY</w:t>
      </w:r>
      <w:bookmarkEnd w:id="25"/>
    </w:p>
    <w:p w:rsidR="0054281E" w:rsidRPr="0000404D" w:rsidRDefault="0054281E" w:rsidP="006E6C37">
      <w:pPr>
        <w:spacing w:after="120"/>
        <w:rPr>
          <w:rFonts w:cs="Times New Roman"/>
          <w:b/>
        </w:rPr>
      </w:pPr>
    </w:p>
    <w:p w:rsidR="00846D32" w:rsidRDefault="00846D32" w:rsidP="00846D32">
      <w:pPr>
        <w:pStyle w:val="Heading2"/>
      </w:pPr>
      <w:bookmarkStart w:id="26" w:name="_Toc238837841"/>
      <w:r w:rsidRPr="00CE3E9B">
        <w:t>Summary</w:t>
      </w:r>
    </w:p>
    <w:p w:rsidR="00846D32" w:rsidRPr="00CE3E9B" w:rsidRDefault="00846D32" w:rsidP="00846D32">
      <w:pPr>
        <w:spacing w:after="120"/>
        <w:rPr>
          <w:rFonts w:cs="Times New Roman"/>
        </w:rPr>
      </w:pPr>
      <w:r w:rsidRPr="00CE3E9B">
        <w:rPr>
          <w:rFonts w:cs="Times New Roman"/>
        </w:rPr>
        <w:tab/>
      </w:r>
      <w:r>
        <w:rPr>
          <w:rFonts w:cs="Times New Roman"/>
        </w:rPr>
        <w:t xml:space="preserve">The results from </w:t>
      </w:r>
      <w:r w:rsidR="00A801F7">
        <w:rPr>
          <w:rFonts w:cs="Times New Roman"/>
        </w:rPr>
        <w:t xml:space="preserve">the </w:t>
      </w:r>
      <w:r w:rsidRPr="00CE3E9B">
        <w:rPr>
          <w:rFonts w:cs="Times New Roman"/>
        </w:rPr>
        <w:t xml:space="preserve">statistical procedures </w:t>
      </w:r>
      <w:r>
        <w:rPr>
          <w:rFonts w:cs="Times New Roman"/>
        </w:rPr>
        <w:t xml:space="preserve">that were applied </w:t>
      </w:r>
      <w:r w:rsidRPr="00CE3E9B">
        <w:rPr>
          <w:rFonts w:cs="Times New Roman"/>
        </w:rPr>
        <w:t xml:space="preserve">to examine the USGS Duck Creek dataset for </w:t>
      </w:r>
      <w:r w:rsidR="00453C08">
        <w:rPr>
          <w:rFonts w:cs="Times New Roman"/>
        </w:rPr>
        <w:t xml:space="preserve">temporal changes and </w:t>
      </w:r>
      <w:r w:rsidRPr="00CE3E9B">
        <w:rPr>
          <w:rFonts w:cs="Times New Roman"/>
        </w:rPr>
        <w:t xml:space="preserve">trends in </w:t>
      </w:r>
      <w:r w:rsidR="00A801F7">
        <w:rPr>
          <w:rFonts w:cs="Times New Roman"/>
        </w:rPr>
        <w:t xml:space="preserve">TSS, </w:t>
      </w:r>
      <w:r w:rsidRPr="00CE3E9B">
        <w:rPr>
          <w:rFonts w:cs="Times New Roman"/>
        </w:rPr>
        <w:t>TP and DP</w:t>
      </w:r>
      <w:r>
        <w:rPr>
          <w:rFonts w:cs="Times New Roman"/>
        </w:rPr>
        <w:t xml:space="preserve"> are summarized below:</w:t>
      </w:r>
    </w:p>
    <w:p w:rsidR="00860250" w:rsidRDefault="00860250" w:rsidP="00860250">
      <w:pPr>
        <w:pStyle w:val="ListParagraph"/>
        <w:numPr>
          <w:ilvl w:val="0"/>
          <w:numId w:val="4"/>
        </w:numPr>
        <w:spacing w:after="120"/>
        <w:rPr>
          <w:rFonts w:cs="Times New Roman"/>
        </w:rPr>
      </w:pPr>
      <w:r w:rsidRPr="00B048C1">
        <w:rPr>
          <w:rFonts w:cs="Times New Roman"/>
        </w:rPr>
        <w:t xml:space="preserve">A multiple linear regression trend analysis was conducted on data collected from USGS Water Year 2004 to 2013.  Decimal time was </w:t>
      </w:r>
      <w:r>
        <w:rPr>
          <w:rFonts w:cs="Times New Roman"/>
        </w:rPr>
        <w:t xml:space="preserve">a </w:t>
      </w:r>
      <w:r w:rsidRPr="00B048C1">
        <w:rPr>
          <w:rFonts w:cs="Times New Roman"/>
        </w:rPr>
        <w:t xml:space="preserve">statistically significant explanatory variable for log-transformed TSS concentrations (p </w:t>
      </w:r>
      <w:r>
        <w:rPr>
          <w:rFonts w:cs="Times New Roman"/>
        </w:rPr>
        <w:t>&lt;</w:t>
      </w:r>
      <w:r w:rsidRPr="00B048C1">
        <w:rPr>
          <w:rFonts w:cs="Times New Roman"/>
        </w:rPr>
        <w:t xml:space="preserve"> 0.0</w:t>
      </w:r>
      <w:r>
        <w:rPr>
          <w:rFonts w:cs="Times New Roman"/>
        </w:rPr>
        <w:t>001</w:t>
      </w:r>
      <w:r w:rsidRPr="00B048C1">
        <w:rPr>
          <w:rFonts w:cs="Times New Roman"/>
        </w:rPr>
        <w:t>; n = 2</w:t>
      </w:r>
      <w:r>
        <w:rPr>
          <w:rFonts w:cs="Times New Roman"/>
        </w:rPr>
        <w:t>69</w:t>
      </w:r>
      <w:r w:rsidRPr="00B048C1">
        <w:rPr>
          <w:rFonts w:cs="Times New Roman"/>
        </w:rPr>
        <w:t xml:space="preserve">), </w:t>
      </w:r>
      <w:r>
        <w:rPr>
          <w:rFonts w:cs="Times New Roman"/>
        </w:rPr>
        <w:t xml:space="preserve">and </w:t>
      </w:r>
      <w:r w:rsidRPr="00B048C1">
        <w:rPr>
          <w:rFonts w:cs="Times New Roman"/>
        </w:rPr>
        <w:t>log-transformed T</w:t>
      </w:r>
      <w:r>
        <w:rPr>
          <w:rFonts w:cs="Times New Roman"/>
        </w:rPr>
        <w:t>P</w:t>
      </w:r>
      <w:r w:rsidRPr="00B048C1">
        <w:rPr>
          <w:rFonts w:cs="Times New Roman"/>
        </w:rPr>
        <w:t xml:space="preserve"> concentrations (p = 0.0</w:t>
      </w:r>
      <w:r>
        <w:rPr>
          <w:rFonts w:cs="Times New Roman"/>
        </w:rPr>
        <w:t>019</w:t>
      </w:r>
      <w:r w:rsidRPr="00B048C1">
        <w:rPr>
          <w:rFonts w:cs="Times New Roman"/>
        </w:rPr>
        <w:t>; n = 2</w:t>
      </w:r>
      <w:r>
        <w:rPr>
          <w:rFonts w:cs="Times New Roman"/>
        </w:rPr>
        <w:t>69</w:t>
      </w:r>
      <w:r w:rsidRPr="00B048C1">
        <w:rPr>
          <w:rFonts w:cs="Times New Roman"/>
        </w:rPr>
        <w:t>)</w:t>
      </w:r>
      <w:r w:rsidR="001E5F5A">
        <w:rPr>
          <w:rFonts w:cs="Times New Roman"/>
        </w:rPr>
        <w:t>.  The slope of decimal time was negative</w:t>
      </w:r>
      <w:r>
        <w:rPr>
          <w:rFonts w:cs="Times New Roman"/>
        </w:rPr>
        <w:t xml:space="preserve">, </w:t>
      </w:r>
      <w:r w:rsidR="001E5F5A">
        <w:rPr>
          <w:rFonts w:cs="Times New Roman"/>
        </w:rPr>
        <w:t xml:space="preserve">thereby suggesting that </w:t>
      </w:r>
      <w:r w:rsidRPr="00B048C1">
        <w:rPr>
          <w:rFonts w:cs="Times New Roman"/>
        </w:rPr>
        <w:t xml:space="preserve">TSS </w:t>
      </w:r>
      <w:r>
        <w:rPr>
          <w:rFonts w:cs="Times New Roman"/>
        </w:rPr>
        <w:t xml:space="preserve">and TP </w:t>
      </w:r>
      <w:r w:rsidRPr="00B048C1">
        <w:rPr>
          <w:rFonts w:cs="Times New Roman"/>
        </w:rPr>
        <w:t xml:space="preserve">concentrations </w:t>
      </w:r>
      <w:r w:rsidR="001E5F5A">
        <w:rPr>
          <w:rFonts w:cs="Times New Roman"/>
        </w:rPr>
        <w:t xml:space="preserve">have </w:t>
      </w:r>
      <w:r w:rsidR="004448D1">
        <w:rPr>
          <w:rFonts w:cs="Times New Roman"/>
        </w:rPr>
        <w:t xml:space="preserve">likely </w:t>
      </w:r>
      <w:r w:rsidRPr="00B048C1">
        <w:rPr>
          <w:rFonts w:cs="Times New Roman"/>
        </w:rPr>
        <w:t>decreased over the 2004 to 2013 record.  Decimal time was a weak</w:t>
      </w:r>
      <w:r>
        <w:rPr>
          <w:rFonts w:cs="Times New Roman"/>
        </w:rPr>
        <w:t>er</w:t>
      </w:r>
      <w:r w:rsidRPr="00B048C1">
        <w:rPr>
          <w:rFonts w:cs="Times New Roman"/>
        </w:rPr>
        <w:t xml:space="preserve">, but statistically significant explanatory variable for log-transformed </w:t>
      </w:r>
      <w:r>
        <w:rPr>
          <w:rFonts w:cs="Times New Roman"/>
        </w:rPr>
        <w:t>DP</w:t>
      </w:r>
      <w:r w:rsidRPr="00B048C1">
        <w:rPr>
          <w:rFonts w:cs="Times New Roman"/>
        </w:rPr>
        <w:t xml:space="preserve"> concentrations (p = 0.0</w:t>
      </w:r>
      <w:r>
        <w:rPr>
          <w:rFonts w:cs="Times New Roman"/>
        </w:rPr>
        <w:t>067</w:t>
      </w:r>
      <w:r w:rsidRPr="00B048C1">
        <w:rPr>
          <w:rFonts w:cs="Times New Roman"/>
        </w:rPr>
        <w:t xml:space="preserve">; n = </w:t>
      </w:r>
      <w:r>
        <w:rPr>
          <w:rFonts w:cs="Times New Roman"/>
        </w:rPr>
        <w:t>127</w:t>
      </w:r>
      <w:r w:rsidRPr="00B048C1">
        <w:rPr>
          <w:rFonts w:cs="Times New Roman"/>
        </w:rPr>
        <w:t xml:space="preserve">), suggesting that </w:t>
      </w:r>
      <w:r>
        <w:rPr>
          <w:rFonts w:cs="Times New Roman"/>
        </w:rPr>
        <w:t>DP</w:t>
      </w:r>
      <w:r w:rsidRPr="00B048C1">
        <w:rPr>
          <w:rFonts w:cs="Times New Roman"/>
        </w:rPr>
        <w:t xml:space="preserve"> concentrations </w:t>
      </w:r>
      <w:r>
        <w:rPr>
          <w:rFonts w:cs="Times New Roman"/>
        </w:rPr>
        <w:t xml:space="preserve">may have </w:t>
      </w:r>
      <w:r w:rsidRPr="00B048C1">
        <w:rPr>
          <w:rFonts w:cs="Times New Roman"/>
        </w:rPr>
        <w:t>decreased over the 2004 to 2013 record</w:t>
      </w:r>
      <w:r w:rsidR="001E5F5A">
        <w:rPr>
          <w:rFonts w:cs="Times New Roman"/>
        </w:rPr>
        <w:t xml:space="preserve"> (slope was negative)</w:t>
      </w:r>
      <w:r w:rsidRPr="00B048C1">
        <w:rPr>
          <w:rFonts w:cs="Times New Roman"/>
        </w:rPr>
        <w:t xml:space="preserve">.  </w:t>
      </w:r>
    </w:p>
    <w:p w:rsidR="005152E4" w:rsidRDefault="00860250" w:rsidP="005152E4">
      <w:pPr>
        <w:pStyle w:val="ListParagraph"/>
        <w:numPr>
          <w:ilvl w:val="0"/>
          <w:numId w:val="4"/>
        </w:numPr>
        <w:spacing w:after="120"/>
        <w:rPr>
          <w:rFonts w:cs="Times New Roman"/>
        </w:rPr>
      </w:pPr>
      <w:r>
        <w:rPr>
          <w:rFonts w:cs="Times New Roman"/>
        </w:rPr>
        <w:t xml:space="preserve">Additional analysis was conducted to determine whether the initial </w:t>
      </w:r>
      <w:r w:rsidR="000437D3">
        <w:rPr>
          <w:rFonts w:cs="Times New Roman"/>
        </w:rPr>
        <w:t xml:space="preserve">finding of decreasing trend </w:t>
      </w:r>
      <w:r>
        <w:rPr>
          <w:rFonts w:cs="Times New Roman"/>
        </w:rPr>
        <w:t xml:space="preserve">would </w:t>
      </w:r>
      <w:r w:rsidR="000437D3">
        <w:rPr>
          <w:rFonts w:cs="Times New Roman"/>
        </w:rPr>
        <w:t xml:space="preserve">be </w:t>
      </w:r>
      <w:r>
        <w:rPr>
          <w:rFonts w:cs="Times New Roman"/>
        </w:rPr>
        <w:t xml:space="preserve">supported </w:t>
      </w:r>
      <w:r w:rsidR="000437D3">
        <w:rPr>
          <w:rFonts w:cs="Times New Roman"/>
        </w:rPr>
        <w:t xml:space="preserve">under all flow conditions or other statistical </w:t>
      </w:r>
      <w:r>
        <w:rPr>
          <w:rFonts w:cs="Times New Roman"/>
        </w:rPr>
        <w:t>tests</w:t>
      </w:r>
      <w:r w:rsidR="000437D3">
        <w:rPr>
          <w:rFonts w:cs="Times New Roman"/>
        </w:rPr>
        <w:t xml:space="preserve">. </w:t>
      </w:r>
    </w:p>
    <w:p w:rsidR="00860250" w:rsidRPr="005152E4" w:rsidRDefault="00860250" w:rsidP="005152E4">
      <w:pPr>
        <w:pStyle w:val="ListParagraph"/>
        <w:numPr>
          <w:ilvl w:val="0"/>
          <w:numId w:val="4"/>
        </w:numPr>
        <w:spacing w:after="120"/>
        <w:rPr>
          <w:rFonts w:cs="Times New Roman"/>
        </w:rPr>
      </w:pPr>
      <w:r w:rsidRPr="005152E4">
        <w:rPr>
          <w:rFonts w:cs="Times New Roman"/>
        </w:rPr>
        <w:t>A multiple linear regression trend analysis was conducted on data collected from USGS Water Year</w:t>
      </w:r>
      <w:r w:rsidR="00E12B46">
        <w:rPr>
          <w:rFonts w:cs="Times New Roman"/>
        </w:rPr>
        <w:t>s</w:t>
      </w:r>
      <w:r w:rsidRPr="005152E4">
        <w:rPr>
          <w:rFonts w:cs="Times New Roman"/>
        </w:rPr>
        <w:t xml:space="preserve"> 2004 to 2013 under six flow-censoring regimes.  Decimal time was a statistically significant explanatory variable for log-transformed TP concentrations (p &lt; 0.05) under all flow regime scenarios, supporting the initial finding that TP concentrations have </w:t>
      </w:r>
      <w:r w:rsidR="008D01A5">
        <w:rPr>
          <w:rFonts w:cs="Times New Roman"/>
        </w:rPr>
        <w:t xml:space="preserve">likely </w:t>
      </w:r>
      <w:r w:rsidRPr="005152E4">
        <w:rPr>
          <w:rFonts w:cs="Times New Roman"/>
        </w:rPr>
        <w:t xml:space="preserve">decreased over the 2004 to 2013 period.  </w:t>
      </w:r>
      <w:r w:rsidR="00FA4C89" w:rsidRPr="005152E4">
        <w:rPr>
          <w:rFonts w:cs="Times New Roman"/>
        </w:rPr>
        <w:t>D</w:t>
      </w:r>
      <w:r w:rsidRPr="005152E4">
        <w:rPr>
          <w:rFonts w:cs="Times New Roman"/>
        </w:rPr>
        <w:t xml:space="preserve">ecimal time was a significant explanatory variable (p &lt; 0.05) </w:t>
      </w:r>
      <w:r w:rsidR="00FA4C89" w:rsidRPr="005152E4">
        <w:rPr>
          <w:rFonts w:cs="Times New Roman"/>
        </w:rPr>
        <w:t xml:space="preserve">for the LN_TSS regression model </w:t>
      </w:r>
      <w:r w:rsidRPr="005152E4">
        <w:rPr>
          <w:rFonts w:cs="Times New Roman"/>
        </w:rPr>
        <w:t xml:space="preserve">under all flow censoring scenarios, except when samples collected under flows of less than 75 cfs were the only ones included in the analysis (p ~ 0.10).  </w:t>
      </w:r>
      <w:r w:rsidR="005152E4">
        <w:rPr>
          <w:rFonts w:cs="Times New Roman"/>
        </w:rPr>
        <w:t xml:space="preserve">With </w:t>
      </w:r>
      <w:r w:rsidR="00DD0A6E">
        <w:rPr>
          <w:rFonts w:cs="Times New Roman"/>
        </w:rPr>
        <w:t xml:space="preserve">this </w:t>
      </w:r>
      <w:r w:rsidR="005152E4">
        <w:rPr>
          <w:rFonts w:cs="Times New Roman"/>
        </w:rPr>
        <w:t>one</w:t>
      </w:r>
      <w:r w:rsidRPr="005152E4">
        <w:rPr>
          <w:rFonts w:cs="Times New Roman"/>
        </w:rPr>
        <w:t xml:space="preserve"> exception, the results support the initial finding that TSS concentrations have </w:t>
      </w:r>
      <w:r w:rsidR="004448D1">
        <w:rPr>
          <w:rFonts w:cs="Times New Roman"/>
        </w:rPr>
        <w:t xml:space="preserve">likely </w:t>
      </w:r>
      <w:r w:rsidRPr="005152E4">
        <w:rPr>
          <w:rFonts w:cs="Times New Roman"/>
        </w:rPr>
        <w:t xml:space="preserve">decreased over the 2004 to 2013 period. </w:t>
      </w:r>
    </w:p>
    <w:p w:rsidR="00EE392D" w:rsidRPr="00EE392D" w:rsidRDefault="00860250" w:rsidP="00EE392D">
      <w:pPr>
        <w:pStyle w:val="ListParagraph"/>
        <w:numPr>
          <w:ilvl w:val="0"/>
          <w:numId w:val="4"/>
        </w:numPr>
        <w:spacing w:after="120" w:line="276" w:lineRule="auto"/>
        <w:rPr>
          <w:rFonts w:cs="Times New Roman"/>
        </w:rPr>
      </w:pPr>
      <w:r w:rsidRPr="00EE392D">
        <w:rPr>
          <w:rFonts w:cs="Times New Roman"/>
        </w:rPr>
        <w:t xml:space="preserve">The </w:t>
      </w:r>
      <w:r w:rsidR="005152E4" w:rsidRPr="00EE392D">
        <w:rPr>
          <w:rFonts w:cs="Times New Roman"/>
        </w:rPr>
        <w:t xml:space="preserve">non-parametric </w:t>
      </w:r>
      <w:r w:rsidRPr="00EE392D">
        <w:rPr>
          <w:rFonts w:cs="Times New Roman"/>
        </w:rPr>
        <w:t xml:space="preserve">Wilcoxon Rank sum test was applied to analyze the difference between TSS and phosphorus concentrations during Period 3 (2004-2007) and Period 4 (July 2010 to 2013) under six flow-censoring regimes.  Data from </w:t>
      </w:r>
      <w:r>
        <w:t xml:space="preserve">2008 and 2009 were not included in this portion of the analysis because this period was considered transitional.  </w:t>
      </w:r>
      <w:r w:rsidRPr="00EE392D">
        <w:rPr>
          <w:rFonts w:cs="Times New Roman"/>
        </w:rPr>
        <w:t>TSS</w:t>
      </w:r>
      <w:r w:rsidR="00FA4C89" w:rsidRPr="00EE392D">
        <w:rPr>
          <w:rFonts w:cs="Times New Roman"/>
        </w:rPr>
        <w:t xml:space="preserve"> and </w:t>
      </w:r>
      <w:r w:rsidR="00C81146" w:rsidRPr="00EE392D">
        <w:rPr>
          <w:rFonts w:cs="Times New Roman"/>
        </w:rPr>
        <w:t xml:space="preserve">TP </w:t>
      </w:r>
      <w:r w:rsidR="001E5F5A">
        <w:rPr>
          <w:rFonts w:cs="Times New Roman"/>
        </w:rPr>
        <w:t xml:space="preserve">concentrations </w:t>
      </w:r>
      <w:r w:rsidRPr="00EE392D">
        <w:rPr>
          <w:rFonts w:cs="Times New Roman"/>
        </w:rPr>
        <w:t xml:space="preserve">were significantly lower in Period 4 compared to Period 3 (p &lt; 0.05) under all flow scenarios except when samples collected under flows of less than 75 cfs were the only ones included in the analysis.  The </w:t>
      </w:r>
      <w:r w:rsidR="00FA4C89" w:rsidRPr="00EE392D">
        <w:rPr>
          <w:rFonts w:cs="Times New Roman"/>
        </w:rPr>
        <w:t xml:space="preserve">DP </w:t>
      </w:r>
      <w:r w:rsidRPr="00EE392D">
        <w:rPr>
          <w:rFonts w:cs="Times New Roman"/>
        </w:rPr>
        <w:t>concentration w</w:t>
      </w:r>
      <w:r w:rsidR="00FA4C89" w:rsidRPr="00EE392D">
        <w:rPr>
          <w:rFonts w:cs="Times New Roman"/>
        </w:rPr>
        <w:t xml:space="preserve">as </w:t>
      </w:r>
      <w:r w:rsidRPr="00EE392D">
        <w:rPr>
          <w:rFonts w:cs="Times New Roman"/>
        </w:rPr>
        <w:t xml:space="preserve">significantly lower in Period 4 compared to Period 3 (p &lt; 0.05) </w:t>
      </w:r>
      <w:r w:rsidR="00EE392D" w:rsidRPr="00EE392D">
        <w:rPr>
          <w:rFonts w:cs="Times New Roman"/>
        </w:rPr>
        <w:t>in</w:t>
      </w:r>
      <w:r w:rsidR="001807D3" w:rsidRPr="00EE392D">
        <w:rPr>
          <w:rFonts w:cs="Times New Roman"/>
        </w:rPr>
        <w:t xml:space="preserve"> </w:t>
      </w:r>
      <w:r w:rsidR="00FA4C89" w:rsidRPr="00EE392D">
        <w:rPr>
          <w:rFonts w:cs="Times New Roman"/>
        </w:rPr>
        <w:t xml:space="preserve">four of the </w:t>
      </w:r>
      <w:r w:rsidRPr="00EE392D">
        <w:rPr>
          <w:rFonts w:cs="Times New Roman"/>
        </w:rPr>
        <w:t>six flow scenarios</w:t>
      </w:r>
      <w:r w:rsidR="00C81146" w:rsidRPr="00EE392D">
        <w:rPr>
          <w:rFonts w:cs="Times New Roman"/>
        </w:rPr>
        <w:t xml:space="preserve">.  The </w:t>
      </w:r>
      <w:r w:rsidRPr="00EE392D">
        <w:rPr>
          <w:rFonts w:cs="Times New Roman"/>
        </w:rPr>
        <w:t>DP/TP ratio</w:t>
      </w:r>
      <w:r w:rsidR="00C81146" w:rsidRPr="00EE392D">
        <w:rPr>
          <w:rFonts w:cs="Times New Roman"/>
        </w:rPr>
        <w:t>s</w:t>
      </w:r>
      <w:r w:rsidRPr="00EE392D">
        <w:rPr>
          <w:rFonts w:cs="Times New Roman"/>
        </w:rPr>
        <w:t xml:space="preserve"> were not significantly different between the two periods (p &gt; 0.05)</w:t>
      </w:r>
      <w:r w:rsidR="00C81146" w:rsidRPr="00EE392D">
        <w:rPr>
          <w:rFonts w:cs="Times New Roman"/>
        </w:rPr>
        <w:t xml:space="preserve"> under any of the flow scenarios</w:t>
      </w:r>
      <w:r w:rsidRPr="00EE392D">
        <w:rPr>
          <w:rFonts w:cs="Times New Roman"/>
        </w:rPr>
        <w:t>.</w:t>
      </w:r>
      <w:r w:rsidR="00EE392D" w:rsidRPr="00EE392D">
        <w:rPr>
          <w:rFonts w:cs="Times New Roman"/>
        </w:rPr>
        <w:t xml:space="preserve"> </w:t>
      </w:r>
    </w:p>
    <w:p w:rsidR="001E5F5A" w:rsidRPr="002D21A4" w:rsidRDefault="00EE392D" w:rsidP="001807D3">
      <w:pPr>
        <w:pStyle w:val="ListParagraph"/>
        <w:numPr>
          <w:ilvl w:val="0"/>
          <w:numId w:val="4"/>
        </w:numPr>
        <w:spacing w:after="120"/>
        <w:rPr>
          <w:rFonts w:cs="Times New Roman"/>
        </w:rPr>
      </w:pPr>
      <w:r w:rsidRPr="001E5F5A">
        <w:rPr>
          <w:rFonts w:cs="Times New Roman"/>
        </w:rPr>
        <w:t xml:space="preserve">A multiple linear regression analysis was performed on a subset of data that was based on one sample per week, </w:t>
      </w:r>
      <w:r w:rsidR="008D01A5">
        <w:rPr>
          <w:rFonts w:cs="Times New Roman"/>
        </w:rPr>
        <w:t>selected</w:t>
      </w:r>
      <w:r w:rsidRPr="001E5F5A">
        <w:rPr>
          <w:rFonts w:cs="Times New Roman"/>
        </w:rPr>
        <w:t xml:space="preserve"> as close as possible in the middle of the week to reduce potential serial correlation bias.  Decimal time was a statistically significant explanatory variable for log-transformed </w:t>
      </w:r>
      <w:r w:rsidR="001E5F5A" w:rsidRPr="001E5F5A">
        <w:rPr>
          <w:rFonts w:cs="Times New Roman"/>
        </w:rPr>
        <w:t xml:space="preserve">concentration of </w:t>
      </w:r>
      <w:r w:rsidRPr="001E5F5A">
        <w:rPr>
          <w:rFonts w:cs="Times New Roman"/>
        </w:rPr>
        <w:t xml:space="preserve">TSS (p </w:t>
      </w:r>
      <w:r w:rsidR="001E5F5A" w:rsidRPr="001E5F5A">
        <w:rPr>
          <w:rFonts w:cs="Times New Roman"/>
        </w:rPr>
        <w:t>=</w:t>
      </w:r>
      <w:r w:rsidRPr="001E5F5A">
        <w:rPr>
          <w:rFonts w:cs="Times New Roman"/>
        </w:rPr>
        <w:t xml:space="preserve"> 0.0359; n = 148), TP (p = 0.0096; n = 148), and </w:t>
      </w:r>
      <w:r w:rsidR="001E5F5A" w:rsidRPr="001E5F5A">
        <w:rPr>
          <w:rFonts w:cs="Times New Roman"/>
        </w:rPr>
        <w:t>D</w:t>
      </w:r>
      <w:r w:rsidRPr="001E5F5A">
        <w:rPr>
          <w:rFonts w:cs="Times New Roman"/>
        </w:rPr>
        <w:t xml:space="preserve">P (p = 0.0299; n = 88).  The slopes of the decimal time variable were all </w:t>
      </w:r>
      <w:r w:rsidRPr="002D21A4">
        <w:rPr>
          <w:rFonts w:cs="Times New Roman"/>
        </w:rPr>
        <w:lastRenderedPageBreak/>
        <w:t xml:space="preserve">negative indicating a </w:t>
      </w:r>
      <w:r w:rsidR="00DD171B">
        <w:rPr>
          <w:rFonts w:cs="Times New Roman"/>
        </w:rPr>
        <w:t xml:space="preserve">likely </w:t>
      </w:r>
      <w:r w:rsidRPr="002D21A4">
        <w:rPr>
          <w:rFonts w:cs="Times New Roman"/>
        </w:rPr>
        <w:t xml:space="preserve">declining trend </w:t>
      </w:r>
      <w:r w:rsidR="001E5F5A" w:rsidRPr="002D21A4">
        <w:rPr>
          <w:rFonts w:cs="Times New Roman"/>
        </w:rPr>
        <w:t xml:space="preserve">for all </w:t>
      </w:r>
      <w:r w:rsidRPr="002D21A4">
        <w:rPr>
          <w:rFonts w:cs="Times New Roman"/>
        </w:rPr>
        <w:t xml:space="preserve">three parameters during the USGS WY 2004 to 2013 </w:t>
      </w:r>
      <w:r w:rsidR="001E5F5A" w:rsidRPr="002D21A4">
        <w:rPr>
          <w:rFonts w:cs="Times New Roman"/>
        </w:rPr>
        <w:t>record.</w:t>
      </w:r>
    </w:p>
    <w:p w:rsidR="00D4275B" w:rsidRPr="002D21A4" w:rsidRDefault="004734D2" w:rsidP="00D4275B">
      <w:pPr>
        <w:pStyle w:val="ListParagraph"/>
        <w:numPr>
          <w:ilvl w:val="0"/>
          <w:numId w:val="4"/>
        </w:numPr>
        <w:spacing w:after="120"/>
        <w:rPr>
          <w:rFonts w:cs="Times New Roman"/>
        </w:rPr>
      </w:pPr>
      <w:r w:rsidRPr="002D21A4">
        <w:rPr>
          <w:rFonts w:cs="Times New Roman"/>
        </w:rPr>
        <w:t>The</w:t>
      </w:r>
      <w:r w:rsidR="001807D3" w:rsidRPr="002D21A4">
        <w:rPr>
          <w:rFonts w:cs="Times New Roman"/>
        </w:rPr>
        <w:t xml:space="preserve"> </w:t>
      </w:r>
      <w:r w:rsidRPr="002D21A4">
        <w:rPr>
          <w:rFonts w:cs="Times New Roman"/>
        </w:rPr>
        <w:t xml:space="preserve">non-parametric </w:t>
      </w:r>
      <w:r w:rsidR="001807D3" w:rsidRPr="002D21A4">
        <w:rPr>
          <w:rFonts w:cs="Times New Roman"/>
        </w:rPr>
        <w:t xml:space="preserve">Wilcoxon Rank sum test was performed </w:t>
      </w:r>
      <w:r w:rsidR="00656FF6" w:rsidRPr="002D21A4">
        <w:rPr>
          <w:rFonts w:cs="Times New Roman"/>
        </w:rPr>
        <w:t>on a weekly sub-sampled data set</w:t>
      </w:r>
      <w:r w:rsidRPr="002D21A4">
        <w:rPr>
          <w:rFonts w:cs="Times New Roman"/>
        </w:rPr>
        <w:t xml:space="preserve"> to compare TSS, TP and DP concentrations during Period 3 (2004-2007) and Period 4 (July 2010 to 2013)</w:t>
      </w:r>
      <w:r w:rsidR="001807D3" w:rsidRPr="002D21A4">
        <w:rPr>
          <w:rFonts w:cs="Times New Roman"/>
        </w:rPr>
        <w:t xml:space="preserve">.  </w:t>
      </w:r>
      <w:r w:rsidRPr="002D21A4">
        <w:rPr>
          <w:rFonts w:cs="Times New Roman"/>
        </w:rPr>
        <w:t>No significant difference was detected between the two periods for any of these parameters.</w:t>
      </w:r>
      <w:r w:rsidR="00D4275B" w:rsidRPr="002D21A4">
        <w:rPr>
          <w:rFonts w:cs="Times New Roman"/>
        </w:rPr>
        <w:t xml:space="preserve"> </w:t>
      </w:r>
    </w:p>
    <w:p w:rsidR="001807D3" w:rsidRPr="000478CB" w:rsidRDefault="00D4275B" w:rsidP="001807D3">
      <w:pPr>
        <w:pStyle w:val="ListParagraph"/>
        <w:numPr>
          <w:ilvl w:val="0"/>
          <w:numId w:val="4"/>
        </w:numPr>
        <w:spacing w:after="120"/>
        <w:rPr>
          <w:rFonts w:cs="Times New Roman"/>
        </w:rPr>
      </w:pPr>
      <w:r w:rsidRPr="002D21A4">
        <w:rPr>
          <w:rFonts w:cs="Times New Roman"/>
        </w:rPr>
        <w:t xml:space="preserve">Results from the various statistical analyses </w:t>
      </w:r>
      <w:r w:rsidR="002D21A4">
        <w:rPr>
          <w:rFonts w:cs="Times New Roman"/>
        </w:rPr>
        <w:t>were fairly</w:t>
      </w:r>
      <w:r w:rsidR="00FF24F0" w:rsidRPr="002D21A4">
        <w:rPr>
          <w:rFonts w:cs="Times New Roman"/>
        </w:rPr>
        <w:t xml:space="preserve"> </w:t>
      </w:r>
      <w:r w:rsidRPr="002D21A4">
        <w:rPr>
          <w:rFonts w:cs="Times New Roman"/>
        </w:rPr>
        <w:t xml:space="preserve">consistent, with the </w:t>
      </w:r>
      <w:r w:rsidR="002D21A4">
        <w:rPr>
          <w:rFonts w:cs="Times New Roman"/>
        </w:rPr>
        <w:t xml:space="preserve">primary </w:t>
      </w:r>
      <w:r w:rsidRPr="002D21A4">
        <w:rPr>
          <w:rFonts w:cs="Times New Roman"/>
        </w:rPr>
        <w:t xml:space="preserve">exception </w:t>
      </w:r>
      <w:r w:rsidR="002D21A4">
        <w:rPr>
          <w:rFonts w:cs="Times New Roman"/>
        </w:rPr>
        <w:t xml:space="preserve">being </w:t>
      </w:r>
      <w:r>
        <w:rPr>
          <w:rFonts w:cs="Times New Roman"/>
        </w:rPr>
        <w:t>the non-parametric Wilcoxon Rank sum test of weekly sub-sampled data.</w:t>
      </w:r>
      <w:r w:rsidR="002D21A4">
        <w:rPr>
          <w:rFonts w:cs="Times New Roman"/>
        </w:rPr>
        <w:t xml:space="preserve">  </w:t>
      </w:r>
      <w:r w:rsidRPr="00D4275B">
        <w:rPr>
          <w:rFonts w:cs="Times New Roman"/>
        </w:rPr>
        <w:t>Overall, the weight of evidence from the statistical analyses is sufficient to conclude that TSS</w:t>
      </w:r>
      <w:r>
        <w:rPr>
          <w:rFonts w:cs="Times New Roman"/>
        </w:rPr>
        <w:t xml:space="preserve"> and </w:t>
      </w:r>
      <w:r w:rsidRPr="00D4275B">
        <w:rPr>
          <w:rFonts w:cs="Times New Roman"/>
        </w:rPr>
        <w:t xml:space="preserve">TP concentrations have likely decreased during the 2004 to 2013 record.  The weight of evidence from the statistical analyses </w:t>
      </w:r>
      <w:r>
        <w:rPr>
          <w:rFonts w:cs="Times New Roman"/>
        </w:rPr>
        <w:t xml:space="preserve">of DP concentrations </w:t>
      </w:r>
      <w:r w:rsidRPr="00D4275B">
        <w:rPr>
          <w:rFonts w:cs="Times New Roman"/>
        </w:rPr>
        <w:t xml:space="preserve">is </w:t>
      </w:r>
      <w:r>
        <w:rPr>
          <w:rFonts w:cs="Times New Roman"/>
        </w:rPr>
        <w:t xml:space="preserve">not as strong, but it also appears likely </w:t>
      </w:r>
      <w:r w:rsidRPr="00D4275B">
        <w:rPr>
          <w:rFonts w:cs="Times New Roman"/>
        </w:rPr>
        <w:t>that DP concentrations have decreased.</w:t>
      </w:r>
      <w:r w:rsidR="00112953">
        <w:rPr>
          <w:rFonts w:cs="Times New Roman"/>
        </w:rPr>
        <w:t xml:space="preserve">  However, </w:t>
      </w:r>
      <w:r w:rsidR="003567DD">
        <w:rPr>
          <w:rFonts w:cs="Times New Roman"/>
        </w:rPr>
        <w:t>peer-review of this study would help verify these findings.</w:t>
      </w:r>
      <w:r w:rsidR="00112953">
        <w:rPr>
          <w:rFonts w:cs="Times New Roman"/>
        </w:rPr>
        <w:t xml:space="preserve"> </w:t>
      </w:r>
      <w:r w:rsidRPr="000478CB">
        <w:rPr>
          <w:rFonts w:cs="Times New Roman"/>
        </w:rPr>
        <w:t xml:space="preserve"> Additional sampling and chemical analysis for TSS, TP and DP are recommended to verify these results. </w:t>
      </w:r>
    </w:p>
    <w:p w:rsidR="00860250" w:rsidRDefault="00F07F86" w:rsidP="00F07F86">
      <w:pPr>
        <w:pStyle w:val="ListParagraph"/>
        <w:numPr>
          <w:ilvl w:val="0"/>
          <w:numId w:val="4"/>
        </w:numPr>
        <w:spacing w:after="120"/>
        <w:rPr>
          <w:rFonts w:cs="Times New Roman"/>
        </w:rPr>
      </w:pPr>
      <w:r w:rsidRPr="000478CB">
        <w:rPr>
          <w:rFonts w:cs="Times New Roman"/>
        </w:rPr>
        <w:t>High concentrations of total phosphorus we</w:t>
      </w:r>
      <w:r w:rsidRPr="00D4275B">
        <w:rPr>
          <w:rFonts w:cs="Times New Roman"/>
        </w:rPr>
        <w:t xml:space="preserve">re still being detected </w:t>
      </w:r>
      <w:r w:rsidR="00C11AEF" w:rsidRPr="00D4275B">
        <w:rPr>
          <w:rFonts w:cs="Times New Roman"/>
        </w:rPr>
        <w:t>in water samples that were funded</w:t>
      </w:r>
      <w:r w:rsidR="00C11AEF">
        <w:rPr>
          <w:rFonts w:cs="Times New Roman"/>
        </w:rPr>
        <w:t xml:space="preserve"> for analysis directly through this study (</w:t>
      </w:r>
      <w:r>
        <w:rPr>
          <w:rFonts w:cs="Times New Roman"/>
        </w:rPr>
        <w:t>201</w:t>
      </w:r>
      <w:r w:rsidR="00C11AEF">
        <w:rPr>
          <w:rFonts w:cs="Times New Roman"/>
        </w:rPr>
        <w:t>1</w:t>
      </w:r>
      <w:r>
        <w:rPr>
          <w:rFonts w:cs="Times New Roman"/>
        </w:rPr>
        <w:t xml:space="preserve"> to 2013 record</w:t>
      </w:r>
      <w:r w:rsidR="00C11AEF">
        <w:rPr>
          <w:rFonts w:cs="Times New Roman"/>
        </w:rPr>
        <w:t>)</w:t>
      </w:r>
      <w:r>
        <w:rPr>
          <w:rFonts w:cs="Times New Roman"/>
        </w:rPr>
        <w:t xml:space="preserve">. </w:t>
      </w:r>
      <w:r w:rsidR="00C11AEF">
        <w:rPr>
          <w:rFonts w:cs="Times New Roman"/>
        </w:rPr>
        <w:t xml:space="preserve">  </w:t>
      </w:r>
      <w:r>
        <w:rPr>
          <w:rFonts w:cs="Times New Roman"/>
        </w:rPr>
        <w:t>F</w:t>
      </w:r>
      <w:r w:rsidR="00C11AEF">
        <w:rPr>
          <w:rFonts w:cs="Times New Roman"/>
        </w:rPr>
        <w:t>our</w:t>
      </w:r>
      <w:r>
        <w:rPr>
          <w:rFonts w:cs="Times New Roman"/>
        </w:rPr>
        <w:t xml:space="preserve"> of </w:t>
      </w:r>
      <w:r w:rsidR="00C11AEF">
        <w:rPr>
          <w:rFonts w:cs="Times New Roman"/>
        </w:rPr>
        <w:t xml:space="preserve">the </w:t>
      </w:r>
      <w:r w:rsidR="007334C0">
        <w:rPr>
          <w:rFonts w:cs="Times New Roman"/>
        </w:rPr>
        <w:t>45</w:t>
      </w:r>
      <w:r>
        <w:rPr>
          <w:rFonts w:cs="Times New Roman"/>
        </w:rPr>
        <w:t xml:space="preserve"> samples</w:t>
      </w:r>
      <w:r w:rsidR="00A54CC1">
        <w:rPr>
          <w:rFonts w:cs="Times New Roman"/>
        </w:rPr>
        <w:t xml:space="preserve"> collected during this period</w:t>
      </w:r>
      <w:r>
        <w:rPr>
          <w:rFonts w:cs="Times New Roman"/>
        </w:rPr>
        <w:t xml:space="preserve"> </w:t>
      </w:r>
      <w:r w:rsidR="00C11AEF">
        <w:rPr>
          <w:rFonts w:cs="Times New Roman"/>
        </w:rPr>
        <w:t xml:space="preserve">had TP concentrations </w:t>
      </w:r>
      <w:r>
        <w:rPr>
          <w:rFonts w:cs="Times New Roman"/>
        </w:rPr>
        <w:t>greater than 1.0 mg/L</w:t>
      </w:r>
      <w:r w:rsidR="00C11AEF">
        <w:rPr>
          <w:rFonts w:cs="Times New Roman"/>
        </w:rPr>
        <w:t xml:space="preserve">, with one sample </w:t>
      </w:r>
      <w:r w:rsidR="00A54CC1">
        <w:rPr>
          <w:rFonts w:cs="Times New Roman"/>
        </w:rPr>
        <w:t xml:space="preserve">at 5.7 mg/L.  Assuming the results were correct, these high </w:t>
      </w:r>
      <w:r w:rsidRPr="00F07F86">
        <w:rPr>
          <w:rFonts w:cs="Times New Roman"/>
        </w:rPr>
        <w:t>TP concentrations</w:t>
      </w:r>
      <w:r w:rsidR="00A54CC1">
        <w:rPr>
          <w:rFonts w:cs="Times New Roman"/>
        </w:rPr>
        <w:t xml:space="preserve">, </w:t>
      </w:r>
      <w:r w:rsidR="00C068CF">
        <w:rPr>
          <w:rFonts w:cs="Times New Roman"/>
        </w:rPr>
        <w:t xml:space="preserve">and the frequency of occurrence, </w:t>
      </w:r>
      <w:r w:rsidRPr="00F07F86">
        <w:rPr>
          <w:rFonts w:cs="Times New Roman"/>
        </w:rPr>
        <w:t>are of concern from a water quality perspective, and should not be ignored</w:t>
      </w:r>
    </w:p>
    <w:p w:rsidR="000F3EB0" w:rsidRPr="00144121" w:rsidRDefault="000F3EB0" w:rsidP="00846D32">
      <w:pPr>
        <w:pStyle w:val="ListParagraph"/>
        <w:numPr>
          <w:ilvl w:val="0"/>
          <w:numId w:val="4"/>
        </w:numPr>
        <w:spacing w:after="120"/>
        <w:rPr>
          <w:rFonts w:cs="Times New Roman"/>
        </w:rPr>
      </w:pPr>
      <w:r w:rsidRPr="000F3EB0">
        <w:rPr>
          <w:rFonts w:cs="Times New Roman"/>
        </w:rPr>
        <w:t>A median concentration of 0.</w:t>
      </w:r>
      <w:r w:rsidR="00AB5AC2">
        <w:rPr>
          <w:rFonts w:cs="Times New Roman"/>
        </w:rPr>
        <w:t>179</w:t>
      </w:r>
      <w:r w:rsidRPr="000F3EB0">
        <w:rPr>
          <w:rFonts w:cs="Times New Roman"/>
        </w:rPr>
        <w:t xml:space="preserve"> mg/L total phosphorus was determined </w:t>
      </w:r>
      <w:r>
        <w:rPr>
          <w:rFonts w:cs="Times New Roman"/>
        </w:rPr>
        <w:t xml:space="preserve">for </w:t>
      </w:r>
      <w:r w:rsidR="00AB5AC2">
        <w:rPr>
          <w:rFonts w:cs="Times New Roman"/>
        </w:rPr>
        <w:t xml:space="preserve">May through October </w:t>
      </w:r>
      <w:r>
        <w:rPr>
          <w:rFonts w:cs="Times New Roman"/>
        </w:rPr>
        <w:t>samples collected from July 2010 to August 201</w:t>
      </w:r>
      <w:r w:rsidR="00AB5AC2">
        <w:rPr>
          <w:rFonts w:cs="Times New Roman"/>
        </w:rPr>
        <w:t>3</w:t>
      </w:r>
      <w:r>
        <w:rPr>
          <w:rFonts w:cs="Times New Roman"/>
        </w:rPr>
        <w:t xml:space="preserve"> (</w:t>
      </w:r>
      <w:r w:rsidRPr="000F3EB0">
        <w:rPr>
          <w:rFonts w:cs="Times New Roman"/>
        </w:rPr>
        <w:t xml:space="preserve">n = </w:t>
      </w:r>
      <w:r w:rsidR="00AB5AC2">
        <w:rPr>
          <w:rFonts w:cs="Times New Roman"/>
        </w:rPr>
        <w:t>23</w:t>
      </w:r>
      <w:r w:rsidRPr="000F3EB0">
        <w:rPr>
          <w:rFonts w:cs="Times New Roman"/>
        </w:rPr>
        <w:t>).</w:t>
      </w:r>
      <w:r>
        <w:rPr>
          <w:rFonts w:cs="Times New Roman"/>
        </w:rPr>
        <w:t xml:space="preserve"> </w:t>
      </w:r>
      <w:r w:rsidR="00AB5AC2">
        <w:rPr>
          <w:rFonts w:cs="Times New Roman"/>
        </w:rPr>
        <w:t xml:space="preserve"> Therefore, t</w:t>
      </w:r>
      <w:r w:rsidRPr="000F3EB0">
        <w:rPr>
          <w:rFonts w:cs="Times New Roman"/>
        </w:rPr>
        <w:t xml:space="preserve">otal phosphorus concentrations in Duck Creek </w:t>
      </w:r>
      <w:r>
        <w:rPr>
          <w:rFonts w:cs="Times New Roman"/>
        </w:rPr>
        <w:t>were</w:t>
      </w:r>
      <w:r w:rsidRPr="000F3EB0">
        <w:rPr>
          <w:rFonts w:cs="Times New Roman"/>
        </w:rPr>
        <w:t xml:space="preserve"> well above the TMDL target of 0.075 mg/L. </w:t>
      </w:r>
      <w:r>
        <w:rPr>
          <w:rFonts w:cs="Times New Roman"/>
        </w:rPr>
        <w:t xml:space="preserve"> </w:t>
      </w:r>
      <w:r w:rsidR="00F864F3">
        <w:rPr>
          <w:rFonts w:cs="Times New Roman"/>
        </w:rPr>
        <w:t>However, during the entire period of record, total phosphorus concentrations near or below the TMDL target of 0.075 mg/L are not rare.</w:t>
      </w:r>
    </w:p>
    <w:p w:rsidR="00F07940" w:rsidRDefault="00B625FC">
      <w:pPr>
        <w:pStyle w:val="Heading2"/>
        <w:spacing w:after="0"/>
      </w:pPr>
      <w:r w:rsidRPr="00B625FC">
        <w:t>Recommendations</w:t>
      </w:r>
      <w:bookmarkEnd w:id="26"/>
    </w:p>
    <w:p w:rsidR="0054281E" w:rsidRDefault="0054281E" w:rsidP="00ED6266">
      <w:pPr>
        <w:spacing w:after="120"/>
        <w:rPr>
          <w:rFonts w:cs="Times New Roman"/>
        </w:rPr>
      </w:pPr>
      <w:r w:rsidRPr="0000404D">
        <w:rPr>
          <w:rFonts w:cs="Times New Roman"/>
          <w:b/>
        </w:rPr>
        <w:tab/>
      </w:r>
      <w:r w:rsidR="00B63DFD">
        <w:rPr>
          <w:rFonts w:cs="Times New Roman"/>
        </w:rPr>
        <w:t>Although the weight of evidence likely shows an apparent decrease in TSS and phosphorus concentrations during the 2004 to 2013 record, t</w:t>
      </w:r>
      <w:r w:rsidRPr="0000404D">
        <w:rPr>
          <w:rFonts w:cs="Times New Roman"/>
        </w:rPr>
        <w:t xml:space="preserve">he </w:t>
      </w:r>
      <w:r w:rsidR="00224332">
        <w:rPr>
          <w:rFonts w:cs="Times New Roman"/>
        </w:rPr>
        <w:t xml:space="preserve">findings from this </w:t>
      </w:r>
      <w:r w:rsidRPr="0000404D">
        <w:rPr>
          <w:rFonts w:cs="Times New Roman"/>
        </w:rPr>
        <w:t xml:space="preserve">statistical analysis of water quality </w:t>
      </w:r>
      <w:r w:rsidR="00224332">
        <w:rPr>
          <w:rFonts w:cs="Times New Roman"/>
        </w:rPr>
        <w:t xml:space="preserve">trends for TSS and phosphorus are not </w:t>
      </w:r>
      <w:r w:rsidR="003567DD">
        <w:rPr>
          <w:rFonts w:cs="Times New Roman"/>
        </w:rPr>
        <w:t xml:space="preserve">absolutely </w:t>
      </w:r>
      <w:r w:rsidR="00224332">
        <w:rPr>
          <w:rFonts w:cs="Times New Roman"/>
        </w:rPr>
        <w:t xml:space="preserve">conclusive.  Therefore, it is recommended that </w:t>
      </w:r>
      <w:r w:rsidR="003567DD">
        <w:rPr>
          <w:rFonts w:cs="Times New Roman"/>
        </w:rPr>
        <w:t>this study be submitted for peer-review</w:t>
      </w:r>
      <w:r w:rsidR="00886E92">
        <w:rPr>
          <w:rFonts w:cs="Times New Roman"/>
        </w:rPr>
        <w:t xml:space="preserve">.  It is also recommended that </w:t>
      </w:r>
      <w:r w:rsidR="00224332">
        <w:rPr>
          <w:rFonts w:cs="Times New Roman"/>
        </w:rPr>
        <w:t xml:space="preserve">additional samples be collected using a similar protocol to </w:t>
      </w:r>
      <w:r w:rsidR="00424502">
        <w:rPr>
          <w:rFonts w:cs="Times New Roman"/>
        </w:rPr>
        <w:t>confirm t</w:t>
      </w:r>
      <w:r w:rsidR="00DA60EF">
        <w:rPr>
          <w:rFonts w:cs="Times New Roman"/>
        </w:rPr>
        <w:t>he findings from this study.</w:t>
      </w:r>
    </w:p>
    <w:p w:rsidR="00411696" w:rsidRDefault="00411696">
      <w:pPr>
        <w:spacing w:after="200" w:line="276" w:lineRule="auto"/>
        <w:rPr>
          <w:rFonts w:cs="Times New Roman"/>
        </w:rPr>
      </w:pPr>
      <w:r>
        <w:rPr>
          <w:rFonts w:cs="Times New Roman"/>
        </w:rPr>
        <w:br w:type="page"/>
      </w:r>
    </w:p>
    <w:p w:rsidR="0054281E" w:rsidRPr="00415AEC" w:rsidRDefault="00023E45" w:rsidP="005F1EAA">
      <w:pPr>
        <w:pStyle w:val="Heading1"/>
        <w:numPr>
          <w:ilvl w:val="0"/>
          <w:numId w:val="0"/>
        </w:numPr>
      </w:pPr>
      <w:bookmarkStart w:id="27" w:name="_Toc238837845"/>
      <w:r w:rsidRPr="00023E45">
        <w:lastRenderedPageBreak/>
        <w:t>REFERENCES</w:t>
      </w:r>
      <w:bookmarkEnd w:id="27"/>
    </w:p>
    <w:p w:rsidR="00AB67C6" w:rsidRDefault="00AB67C6" w:rsidP="00966F4E">
      <w:pPr>
        <w:ind w:left="720" w:hanging="720"/>
        <w:rPr>
          <w:rFonts w:cs="Times New Roman"/>
          <w:sz w:val="22"/>
          <w:szCs w:val="22"/>
        </w:rPr>
      </w:pPr>
    </w:p>
    <w:p w:rsidR="00966F4E" w:rsidRPr="00966F4E" w:rsidRDefault="00966F4E" w:rsidP="00966F4E">
      <w:pPr>
        <w:ind w:left="720" w:hanging="720"/>
        <w:rPr>
          <w:rFonts w:cs="Times New Roman"/>
          <w:sz w:val="22"/>
          <w:szCs w:val="22"/>
        </w:rPr>
      </w:pPr>
      <w:r>
        <w:rPr>
          <w:rFonts w:cs="Times New Roman"/>
          <w:sz w:val="22"/>
          <w:szCs w:val="22"/>
        </w:rPr>
        <w:t>Cibulka</w:t>
      </w:r>
      <w:r w:rsidRPr="00966F4E">
        <w:rPr>
          <w:rFonts w:cs="Times New Roman"/>
          <w:sz w:val="22"/>
          <w:szCs w:val="22"/>
        </w:rPr>
        <w:t xml:space="preserve">, </w:t>
      </w:r>
      <w:r>
        <w:rPr>
          <w:rFonts w:cs="Times New Roman"/>
          <w:sz w:val="22"/>
          <w:szCs w:val="22"/>
        </w:rPr>
        <w:t>D</w:t>
      </w:r>
      <w:r w:rsidRPr="00966F4E">
        <w:rPr>
          <w:rFonts w:cs="Times New Roman"/>
          <w:sz w:val="22"/>
          <w:szCs w:val="22"/>
        </w:rPr>
        <w:t>.  200</w:t>
      </w:r>
      <w:r>
        <w:rPr>
          <w:rFonts w:cs="Times New Roman"/>
          <w:sz w:val="22"/>
          <w:szCs w:val="22"/>
        </w:rPr>
        <w:t>9</w:t>
      </w:r>
      <w:r w:rsidRPr="00966F4E">
        <w:rPr>
          <w:rFonts w:cs="Times New Roman"/>
          <w:sz w:val="22"/>
          <w:szCs w:val="22"/>
        </w:rPr>
        <w:t>.  T</w:t>
      </w:r>
      <w:r>
        <w:rPr>
          <w:rFonts w:cs="Times New Roman"/>
          <w:sz w:val="22"/>
          <w:szCs w:val="22"/>
        </w:rPr>
        <w:t>emporal Asse</w:t>
      </w:r>
      <w:r w:rsidR="00D040F0">
        <w:rPr>
          <w:rFonts w:cs="Times New Roman"/>
          <w:sz w:val="22"/>
          <w:szCs w:val="22"/>
        </w:rPr>
        <w:t>ssment of Management Practices and Water Quality in the Duck Creek Watershed, Wisconsin.</w:t>
      </w:r>
      <w:r w:rsidRPr="00966F4E">
        <w:rPr>
          <w:rFonts w:cs="Times New Roman"/>
          <w:sz w:val="22"/>
          <w:szCs w:val="22"/>
        </w:rPr>
        <w:t xml:space="preserve">  M.S. Thesis, Environmental Science and Policy, Univ. Wisconsin – Green Bay.</w:t>
      </w:r>
    </w:p>
    <w:p w:rsidR="00966F4E" w:rsidRDefault="00966F4E" w:rsidP="00966F4E">
      <w:pPr>
        <w:ind w:left="720" w:hanging="720"/>
        <w:rPr>
          <w:rFonts w:cs="Times New Roman"/>
          <w:sz w:val="22"/>
          <w:szCs w:val="22"/>
        </w:rPr>
      </w:pPr>
    </w:p>
    <w:p w:rsidR="00474F7E" w:rsidRPr="00966F4E" w:rsidRDefault="00474F7E" w:rsidP="00C64787">
      <w:pPr>
        <w:ind w:left="720" w:hanging="720"/>
        <w:rPr>
          <w:rFonts w:cs="Times New Roman"/>
          <w:sz w:val="22"/>
          <w:szCs w:val="22"/>
        </w:rPr>
      </w:pPr>
      <w:r>
        <w:rPr>
          <w:rFonts w:cs="Times New Roman"/>
          <w:sz w:val="22"/>
          <w:szCs w:val="22"/>
        </w:rPr>
        <w:t>Cibulka</w:t>
      </w:r>
      <w:r w:rsidRPr="00966F4E">
        <w:rPr>
          <w:rFonts w:cs="Times New Roman"/>
          <w:sz w:val="22"/>
          <w:szCs w:val="22"/>
        </w:rPr>
        <w:t xml:space="preserve">, </w:t>
      </w:r>
      <w:r>
        <w:rPr>
          <w:rFonts w:cs="Times New Roman"/>
          <w:sz w:val="22"/>
          <w:szCs w:val="22"/>
        </w:rPr>
        <w:t>D</w:t>
      </w:r>
      <w:r w:rsidR="00C64787">
        <w:rPr>
          <w:rFonts w:cs="Times New Roman"/>
          <w:sz w:val="22"/>
          <w:szCs w:val="22"/>
        </w:rPr>
        <w:t>, P. Baumgart and K. Fermanich</w:t>
      </w:r>
      <w:r w:rsidRPr="00966F4E">
        <w:rPr>
          <w:rFonts w:cs="Times New Roman"/>
          <w:sz w:val="22"/>
          <w:szCs w:val="22"/>
        </w:rPr>
        <w:t>.  20</w:t>
      </w:r>
      <w:r>
        <w:rPr>
          <w:rFonts w:cs="Times New Roman"/>
          <w:sz w:val="22"/>
          <w:szCs w:val="22"/>
        </w:rPr>
        <w:t>10</w:t>
      </w:r>
      <w:r w:rsidRPr="00966F4E">
        <w:rPr>
          <w:rFonts w:cs="Times New Roman"/>
          <w:sz w:val="22"/>
          <w:szCs w:val="22"/>
        </w:rPr>
        <w:t xml:space="preserve">.  </w:t>
      </w:r>
      <w:r w:rsidR="00C64787" w:rsidRPr="00C64787">
        <w:rPr>
          <w:rFonts w:cs="Times New Roman"/>
          <w:sz w:val="22"/>
          <w:szCs w:val="22"/>
        </w:rPr>
        <w:t xml:space="preserve">Temporal Assessment </w:t>
      </w:r>
      <w:r w:rsidR="005F1EAA">
        <w:rPr>
          <w:rFonts w:cs="Times New Roman"/>
          <w:sz w:val="22"/>
          <w:szCs w:val="22"/>
        </w:rPr>
        <w:t>o</w:t>
      </w:r>
      <w:r w:rsidR="00C64787" w:rsidRPr="00C64787">
        <w:rPr>
          <w:rFonts w:cs="Times New Roman"/>
          <w:sz w:val="22"/>
          <w:szCs w:val="22"/>
        </w:rPr>
        <w:t xml:space="preserve">f Management Practices </w:t>
      </w:r>
      <w:r w:rsidR="005F1EAA">
        <w:rPr>
          <w:rFonts w:cs="Times New Roman"/>
          <w:sz w:val="22"/>
          <w:szCs w:val="22"/>
        </w:rPr>
        <w:t>a</w:t>
      </w:r>
      <w:r w:rsidR="00C64787" w:rsidRPr="00C64787">
        <w:rPr>
          <w:rFonts w:cs="Times New Roman"/>
          <w:sz w:val="22"/>
          <w:szCs w:val="22"/>
        </w:rPr>
        <w:t xml:space="preserve">nd Water Quality </w:t>
      </w:r>
      <w:r w:rsidR="005F1EAA">
        <w:rPr>
          <w:rFonts w:cs="Times New Roman"/>
          <w:sz w:val="22"/>
          <w:szCs w:val="22"/>
        </w:rPr>
        <w:t>i</w:t>
      </w:r>
      <w:r w:rsidR="00C64787" w:rsidRPr="00C64787">
        <w:rPr>
          <w:rFonts w:cs="Times New Roman"/>
          <w:sz w:val="22"/>
          <w:szCs w:val="22"/>
        </w:rPr>
        <w:t>n The Duck Creek Watershed, Wisconsin</w:t>
      </w:r>
      <w:r w:rsidR="00C64787">
        <w:rPr>
          <w:rFonts w:cs="Times New Roman"/>
          <w:sz w:val="22"/>
          <w:szCs w:val="22"/>
        </w:rPr>
        <w:t xml:space="preserve">.  </w:t>
      </w:r>
      <w:r w:rsidR="00C64787" w:rsidRPr="00C64787">
        <w:rPr>
          <w:rFonts w:cs="Times New Roman"/>
          <w:sz w:val="22"/>
          <w:szCs w:val="22"/>
        </w:rPr>
        <w:t>A report to the:</w:t>
      </w:r>
      <w:r w:rsidR="00C64787">
        <w:rPr>
          <w:rFonts w:cs="Times New Roman"/>
          <w:sz w:val="22"/>
          <w:szCs w:val="22"/>
        </w:rPr>
        <w:t xml:space="preserve"> </w:t>
      </w:r>
      <w:r w:rsidR="00C64787" w:rsidRPr="00C64787">
        <w:rPr>
          <w:rFonts w:cs="Times New Roman"/>
          <w:sz w:val="22"/>
          <w:szCs w:val="22"/>
        </w:rPr>
        <w:t>Environmental Health and Safety Division</w:t>
      </w:r>
      <w:r w:rsidR="00C64787">
        <w:rPr>
          <w:rFonts w:cs="Times New Roman"/>
          <w:sz w:val="22"/>
          <w:szCs w:val="22"/>
        </w:rPr>
        <w:t xml:space="preserve"> </w:t>
      </w:r>
      <w:r w:rsidR="00C64787" w:rsidRPr="00C64787">
        <w:rPr>
          <w:rFonts w:cs="Times New Roman"/>
          <w:sz w:val="22"/>
          <w:szCs w:val="22"/>
        </w:rPr>
        <w:t>Oneida Tribe of Indians</w:t>
      </w:r>
      <w:r w:rsidR="00C64787">
        <w:rPr>
          <w:rFonts w:cs="Times New Roman"/>
          <w:sz w:val="22"/>
          <w:szCs w:val="22"/>
        </w:rPr>
        <w:t xml:space="preserve">.  </w:t>
      </w:r>
      <w:r w:rsidRPr="00966F4E">
        <w:rPr>
          <w:rFonts w:cs="Times New Roman"/>
          <w:sz w:val="22"/>
          <w:szCs w:val="22"/>
        </w:rPr>
        <w:t>Univ. Wisconsin – Green Bay.</w:t>
      </w:r>
    </w:p>
    <w:p w:rsidR="00474F7E" w:rsidRPr="00966F4E" w:rsidRDefault="00474F7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Clesceri, L.S., A.E. Greenberg, and R.R. Trussell.  1998.  Standard Methods for the Examination of Water and Wastewaters.  20</w:t>
      </w:r>
      <w:r w:rsidRPr="00540C2F">
        <w:rPr>
          <w:rFonts w:cs="Times New Roman"/>
          <w:sz w:val="22"/>
          <w:szCs w:val="22"/>
          <w:vertAlign w:val="superscript"/>
        </w:rPr>
        <w:t>th</w:t>
      </w:r>
      <w:r w:rsidRPr="00540C2F">
        <w:rPr>
          <w:rFonts w:cs="Times New Roman"/>
          <w:sz w:val="22"/>
          <w:szCs w:val="22"/>
        </w:rPr>
        <w:t xml:space="preserve"> ed. Washington, D.C.: American Public Health Association.</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Cohn, T.A., D.L. Caulder, E.J. Gilroy, L.D. Zynjuk, and R.M. Summers.  1992.  The Validity of a Simple Statistical Model for Estimating Fluvial Constituent Loads – An Empirical Study Involving Nutrient Loads Entering Chesapeake Bay.  Water Resources Research.  28(9):2353-2363.</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lang w:val="en-GB"/>
        </w:rPr>
      </w:pPr>
      <w:r w:rsidRPr="00540C2F">
        <w:rPr>
          <w:rFonts w:cs="Times New Roman"/>
          <w:sz w:val="22"/>
          <w:szCs w:val="22"/>
          <w:lang w:val="en-GB"/>
        </w:rPr>
        <w:t xml:space="preserve">Draper, N.R. and H. Smith. 1998. </w:t>
      </w:r>
      <w:r w:rsidRPr="00540C2F">
        <w:rPr>
          <w:rFonts w:cs="Times New Roman"/>
          <w:i/>
          <w:iCs/>
          <w:sz w:val="22"/>
          <w:szCs w:val="22"/>
          <w:lang w:val="en-GB"/>
        </w:rPr>
        <w:t>Applied Regression Analysis.</w:t>
      </w:r>
      <w:r w:rsidRPr="00540C2F">
        <w:rPr>
          <w:rFonts w:cs="Times New Roman"/>
          <w:sz w:val="22"/>
          <w:szCs w:val="22"/>
          <w:lang w:val="en-GB"/>
        </w:rPr>
        <w:t xml:space="preserve"> 3</w:t>
      </w:r>
      <w:r w:rsidRPr="00540C2F">
        <w:rPr>
          <w:rFonts w:cs="Times New Roman"/>
          <w:sz w:val="22"/>
          <w:szCs w:val="22"/>
          <w:vertAlign w:val="superscript"/>
          <w:lang w:val="en-GB"/>
        </w:rPr>
        <w:t>rd</w:t>
      </w:r>
      <w:r w:rsidRPr="00540C2F">
        <w:rPr>
          <w:rFonts w:cs="Times New Roman"/>
          <w:sz w:val="22"/>
          <w:szCs w:val="22"/>
          <w:lang w:val="en-GB"/>
        </w:rPr>
        <w:t xml:space="preserve"> Edition. pp. 69-70. New York: Wiley.</w:t>
      </w:r>
    </w:p>
    <w:p w:rsidR="00AB67C6" w:rsidRDefault="00AB67C6" w:rsidP="00AB67C6">
      <w:pPr>
        <w:ind w:left="720" w:hanging="720"/>
        <w:rPr>
          <w:rFonts w:cs="Times New Roman"/>
          <w:sz w:val="22"/>
          <w:szCs w:val="22"/>
        </w:rPr>
      </w:pPr>
    </w:p>
    <w:p w:rsidR="00AB67C6" w:rsidRDefault="00AB67C6" w:rsidP="00AB67C6">
      <w:pPr>
        <w:ind w:left="720" w:hanging="720"/>
        <w:rPr>
          <w:rFonts w:cs="Times New Roman"/>
          <w:sz w:val="22"/>
          <w:szCs w:val="22"/>
        </w:rPr>
      </w:pPr>
      <w:r w:rsidRPr="00AB67C6">
        <w:rPr>
          <w:rFonts w:cs="Times New Roman"/>
          <w:sz w:val="22"/>
          <w:szCs w:val="22"/>
        </w:rPr>
        <w:t>Edwards, T.K., and D.G. Glysson. 1988. Field methods for measurement of fluvial sediment. U.S. Geological Survey Open-File Report 86-531, 118 p.</w:t>
      </w:r>
    </w:p>
    <w:p w:rsidR="00AB67C6" w:rsidRPr="00AB67C6" w:rsidRDefault="00AB67C6" w:rsidP="00AB67C6">
      <w:pPr>
        <w:ind w:left="720" w:hanging="720"/>
        <w:rPr>
          <w:rFonts w:cs="Times New Roman"/>
          <w:sz w:val="22"/>
          <w:szCs w:val="22"/>
        </w:rPr>
      </w:pPr>
    </w:p>
    <w:p w:rsidR="00C64787" w:rsidRDefault="00906ABA" w:rsidP="00966F4E">
      <w:pPr>
        <w:ind w:left="720" w:hanging="720"/>
        <w:rPr>
          <w:rFonts w:cs="Times New Roman"/>
          <w:sz w:val="22"/>
          <w:szCs w:val="22"/>
        </w:rPr>
      </w:pPr>
      <w:r w:rsidRPr="00966F4E" w:rsidDel="00906ABA">
        <w:rPr>
          <w:rFonts w:cs="Times New Roman"/>
          <w:sz w:val="22"/>
          <w:szCs w:val="22"/>
        </w:rPr>
        <w:t xml:space="preserve"> </w:t>
      </w:r>
      <w:r w:rsidR="00C64787" w:rsidRPr="00C64787">
        <w:rPr>
          <w:rFonts w:cs="Times New Roman"/>
          <w:sz w:val="22"/>
          <w:szCs w:val="22"/>
        </w:rPr>
        <w:t>Grac</w:t>
      </w:r>
      <w:r w:rsidR="00C64787">
        <w:rPr>
          <w:rFonts w:cs="Times New Roman"/>
          <w:sz w:val="22"/>
          <w:szCs w:val="22"/>
        </w:rPr>
        <w:t>y</w:t>
      </w:r>
      <w:r w:rsidR="00C64787" w:rsidRPr="00C64787">
        <w:rPr>
          <w:rFonts w:cs="Times New Roman"/>
          <w:sz w:val="22"/>
          <w:szCs w:val="22"/>
        </w:rPr>
        <w:t xml:space="preserve">zk, D.J., </w:t>
      </w:r>
      <w:r w:rsidR="00C64787">
        <w:rPr>
          <w:rFonts w:cs="Times New Roman"/>
          <w:sz w:val="22"/>
          <w:szCs w:val="22"/>
        </w:rPr>
        <w:t xml:space="preserve">D.M. </w:t>
      </w:r>
      <w:r w:rsidR="00C64787" w:rsidRPr="00C64787">
        <w:rPr>
          <w:rFonts w:cs="Times New Roman"/>
          <w:sz w:val="22"/>
          <w:szCs w:val="22"/>
        </w:rPr>
        <w:t xml:space="preserve">Robertson, </w:t>
      </w:r>
      <w:r w:rsidR="00C64787">
        <w:rPr>
          <w:rFonts w:cs="Times New Roman"/>
          <w:sz w:val="22"/>
          <w:szCs w:val="22"/>
        </w:rPr>
        <w:t>P.D.</w:t>
      </w:r>
      <w:r w:rsidR="00C64787" w:rsidRPr="00C64787">
        <w:rPr>
          <w:rFonts w:cs="Times New Roman"/>
          <w:sz w:val="22"/>
          <w:szCs w:val="22"/>
        </w:rPr>
        <w:t xml:space="preserve"> Baumgart, and </w:t>
      </w:r>
      <w:r w:rsidR="00C64787">
        <w:rPr>
          <w:rFonts w:cs="Times New Roman"/>
          <w:sz w:val="22"/>
          <w:szCs w:val="22"/>
        </w:rPr>
        <w:t xml:space="preserve">K.J. </w:t>
      </w:r>
      <w:r w:rsidR="00C64787" w:rsidRPr="00C64787">
        <w:rPr>
          <w:rFonts w:cs="Times New Roman"/>
          <w:sz w:val="22"/>
          <w:szCs w:val="22"/>
        </w:rPr>
        <w:t>Fermanich.</w:t>
      </w:r>
      <w:r w:rsidR="00C64787">
        <w:rPr>
          <w:rFonts w:cs="Times New Roman"/>
          <w:sz w:val="22"/>
          <w:szCs w:val="22"/>
        </w:rPr>
        <w:t xml:space="preserve">  </w:t>
      </w:r>
      <w:r w:rsidR="00C64787" w:rsidRPr="00C64787">
        <w:rPr>
          <w:rFonts w:cs="Times New Roman"/>
          <w:sz w:val="22"/>
          <w:szCs w:val="22"/>
        </w:rPr>
        <w:t>2012.</w:t>
      </w:r>
      <w:r w:rsidR="00C64787">
        <w:rPr>
          <w:rFonts w:cs="Times New Roman"/>
          <w:sz w:val="22"/>
          <w:szCs w:val="22"/>
        </w:rPr>
        <w:t xml:space="preserve">  </w:t>
      </w:r>
      <w:r w:rsidR="00C64787" w:rsidRPr="00C64787">
        <w:rPr>
          <w:rFonts w:cs="Times New Roman"/>
          <w:sz w:val="22"/>
          <w:szCs w:val="22"/>
        </w:rPr>
        <w:t xml:space="preserve">Hydrology, phosphorus, and suspended solids in five agricultural streams in the Lower Fox River and Green Bay Watersheds, Wisconsin, Water Years 2004–06: U.S. Geological Survey Scientific Investigations Report 2011–5111, 28 pages. </w:t>
      </w:r>
    </w:p>
    <w:p w:rsidR="005E2665" w:rsidRDefault="005E2665" w:rsidP="00966F4E">
      <w:pPr>
        <w:ind w:left="720" w:hanging="720"/>
        <w:rPr>
          <w:rFonts w:cs="Times New Roman"/>
          <w:sz w:val="22"/>
          <w:szCs w:val="22"/>
        </w:rPr>
      </w:pPr>
    </w:p>
    <w:p w:rsidR="00C64787" w:rsidRDefault="005E2665" w:rsidP="00966F4E">
      <w:pPr>
        <w:ind w:left="720" w:hanging="720"/>
        <w:rPr>
          <w:rFonts w:cs="Times New Roman"/>
          <w:sz w:val="22"/>
          <w:szCs w:val="22"/>
        </w:rPr>
      </w:pPr>
      <w:r w:rsidRPr="005E2665">
        <w:rPr>
          <w:rFonts w:cs="Times New Roman"/>
          <w:sz w:val="22"/>
          <w:szCs w:val="22"/>
        </w:rPr>
        <w:t>Helsel, D.R. and R. M. Hirsch</w:t>
      </w:r>
      <w:r>
        <w:rPr>
          <w:rFonts w:cs="Times New Roman"/>
          <w:sz w:val="22"/>
          <w:szCs w:val="22"/>
        </w:rPr>
        <w:t xml:space="preserve">.  </w:t>
      </w:r>
      <w:r w:rsidRPr="005E2665">
        <w:rPr>
          <w:rFonts w:cs="Times New Roman"/>
          <w:sz w:val="22"/>
          <w:szCs w:val="22"/>
        </w:rPr>
        <w:t>2002. Statistical Methods in Water Resources Techniques of Water Resources Investigations, Book 4, chapter A3. U.S. Geological Survey. 522 pages.</w:t>
      </w:r>
    </w:p>
    <w:p w:rsidR="005E2665" w:rsidRPr="00966F4E" w:rsidRDefault="005E2665"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Johnson, H.O., S.C. Gupta, A.V. Vecchia, and F. Zvomuya.  2009.  Assessment of Water Quality Trends in the Minnesota River Using Non-Parametric and Parametric Methods.  Journal of Environmental Quality.  38:1018-1030.</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Landers, M.N.  2005.  Seasonality and Trends in Stream Water Quality in Gwinnett County, Georgia, 1996-2003.  Proceedings of the 2005 Georgia Water Resources Conference.</w:t>
      </w:r>
    </w:p>
    <w:p w:rsidR="00966F4E" w:rsidRPr="00966F4E" w:rsidRDefault="00966F4E" w:rsidP="00966F4E">
      <w:pPr>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Richards, R.P., D.B. Baker, J.P. Crumrine, J.W. Kramer, D.E. Ewing, and B.J. Merryfield.  2008.  Thirty-Year Trends in Suspended Sediment in Seven Lake Erie Tributaries.  Journal of Environmental Quality.  37:1894-1908.</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Runkel, R.L., C.G. Crawford, and T.A. Cohn.  2004.  Load Estimator (LOADEST): A FORTRAN Program for Estimating Constituent Loads in Streams and Rivers.  USGS Techniques and Methods Book 4, Chapter A5.  75 p.</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t xml:space="preserve">Ryberg, K.R. and A.V. Vecchia.  2006.  Water-Quality Trend Analysis and Sampling Design for the Devils Lake Basin, North Dakota, January 1965 </w:t>
      </w:r>
      <w:r w:rsidR="00AB67C6">
        <w:rPr>
          <w:rFonts w:cs="Times New Roman"/>
          <w:sz w:val="22"/>
          <w:szCs w:val="22"/>
        </w:rPr>
        <w:t>t</w:t>
      </w:r>
      <w:r w:rsidRPr="00540C2F">
        <w:rPr>
          <w:rFonts w:cs="Times New Roman"/>
          <w:sz w:val="22"/>
          <w:szCs w:val="22"/>
        </w:rPr>
        <w:t>hrough September 2003.  USGS Scientific Investigations Report 2006-5238.</w:t>
      </w:r>
    </w:p>
    <w:p w:rsidR="00966F4E" w:rsidRPr="00966F4E" w:rsidRDefault="00966F4E" w:rsidP="00966F4E">
      <w:pPr>
        <w:ind w:left="720" w:hanging="720"/>
        <w:rPr>
          <w:rFonts w:cs="Times New Roman"/>
          <w:sz w:val="22"/>
          <w:szCs w:val="22"/>
        </w:rPr>
      </w:pPr>
    </w:p>
    <w:p w:rsidR="00966F4E" w:rsidRPr="00966F4E" w:rsidRDefault="00540C2F" w:rsidP="00966F4E">
      <w:pPr>
        <w:ind w:left="720" w:hanging="720"/>
        <w:rPr>
          <w:rFonts w:cs="Times New Roman"/>
          <w:sz w:val="22"/>
          <w:szCs w:val="22"/>
        </w:rPr>
      </w:pPr>
      <w:r w:rsidRPr="00540C2F">
        <w:rPr>
          <w:rFonts w:cs="Times New Roman"/>
          <w:sz w:val="22"/>
          <w:szCs w:val="22"/>
        </w:rPr>
        <w:lastRenderedPageBreak/>
        <w:t>Shelton, L.R.  1994. Field Guide for Collection and Processing Stream-Water Samples for the National Water-Quality Assessment Program.  United States Geological Survey Open-File Report 94-455, Sacramento, CA.</w:t>
      </w:r>
    </w:p>
    <w:p w:rsidR="00966F4E" w:rsidRPr="00966F4E" w:rsidRDefault="00966F4E" w:rsidP="00966F4E">
      <w:pPr>
        <w:ind w:left="720" w:hanging="720"/>
        <w:rPr>
          <w:rFonts w:cs="Times New Roman"/>
          <w:sz w:val="22"/>
          <w:szCs w:val="22"/>
        </w:rPr>
      </w:pPr>
    </w:p>
    <w:p w:rsidR="00966F4E" w:rsidRDefault="00540C2F" w:rsidP="00966F4E">
      <w:pPr>
        <w:ind w:left="720" w:hanging="720"/>
        <w:rPr>
          <w:rFonts w:cs="Times New Roman"/>
          <w:sz w:val="22"/>
          <w:szCs w:val="22"/>
        </w:rPr>
      </w:pPr>
      <w:r w:rsidRPr="00540C2F">
        <w:rPr>
          <w:rFonts w:cs="Times New Roman"/>
          <w:sz w:val="22"/>
          <w:szCs w:val="22"/>
        </w:rPr>
        <w:t>United States Environmental Protection Agency (USEPA).  1983.  Methods for Chemical Analysis of Water and Wastes.  EPA-600/4-79-020.  USEPA Environmental Monitoring and Support Laboratory.  Cincinnati, OH</w:t>
      </w:r>
    </w:p>
    <w:p w:rsidR="00AB67C6" w:rsidRPr="00AB67C6" w:rsidRDefault="00AB67C6" w:rsidP="00AB67C6">
      <w:pPr>
        <w:ind w:left="720" w:hanging="720"/>
        <w:rPr>
          <w:rFonts w:cs="Times New Roman"/>
          <w:sz w:val="22"/>
          <w:szCs w:val="22"/>
        </w:rPr>
      </w:pPr>
    </w:p>
    <w:p w:rsidR="00516FFF" w:rsidRDefault="00AB67C6" w:rsidP="00AB67C6">
      <w:pPr>
        <w:ind w:left="720" w:hanging="720"/>
        <w:rPr>
          <w:rFonts w:cs="Times New Roman"/>
          <w:sz w:val="22"/>
          <w:szCs w:val="22"/>
        </w:rPr>
      </w:pPr>
      <w:r w:rsidRPr="00AB67C6">
        <w:rPr>
          <w:rFonts w:cs="Times New Roman"/>
          <w:sz w:val="22"/>
          <w:szCs w:val="22"/>
        </w:rPr>
        <w:t>Ward, J.C., and C.A. Harr (eds.). 1990. Methods for collection and processing of surface-water and bed-material samples for physical and chemical analyses. U.S. Geological Survey Open-File Report 90-140, 71 p.</w:t>
      </w:r>
    </w:p>
    <w:p w:rsidR="00516FFF" w:rsidRDefault="00516FFF">
      <w:pPr>
        <w:spacing w:after="200" w:line="276" w:lineRule="auto"/>
        <w:rPr>
          <w:rFonts w:cs="Times New Roman"/>
          <w:sz w:val="22"/>
          <w:szCs w:val="22"/>
        </w:rPr>
      </w:pPr>
      <w:r>
        <w:rPr>
          <w:rFonts w:cs="Times New Roman"/>
          <w:sz w:val="22"/>
          <w:szCs w:val="22"/>
        </w:rPr>
        <w:br w:type="page"/>
      </w:r>
    </w:p>
    <w:p w:rsidR="001439BE" w:rsidRDefault="0001535D" w:rsidP="00C142F3">
      <w:pPr>
        <w:spacing w:after="200" w:line="276" w:lineRule="auto"/>
        <w:jc w:val="center"/>
        <w:rPr>
          <w:rFonts w:cs="Times New Roman"/>
          <w:b/>
          <w:sz w:val="22"/>
          <w:szCs w:val="22"/>
        </w:rPr>
      </w:pPr>
      <w:r w:rsidRPr="0001535D">
        <w:rPr>
          <w:rFonts w:cs="Times New Roman"/>
          <w:b/>
          <w:sz w:val="22"/>
          <w:szCs w:val="22"/>
        </w:rPr>
        <w:lastRenderedPageBreak/>
        <w:t xml:space="preserve">APPENDIX: Analytical </w:t>
      </w:r>
      <w:r w:rsidR="00341E78">
        <w:rPr>
          <w:rFonts w:cs="Times New Roman"/>
          <w:b/>
          <w:sz w:val="22"/>
          <w:szCs w:val="22"/>
        </w:rPr>
        <w:t>r</w:t>
      </w:r>
      <w:r w:rsidRPr="0001535D">
        <w:rPr>
          <w:rFonts w:cs="Times New Roman"/>
          <w:b/>
          <w:sz w:val="22"/>
          <w:szCs w:val="22"/>
        </w:rPr>
        <w:t xml:space="preserve">esults from GBMSD </w:t>
      </w:r>
      <w:r w:rsidR="00341E78">
        <w:rPr>
          <w:rFonts w:cs="Times New Roman"/>
          <w:b/>
          <w:sz w:val="22"/>
          <w:szCs w:val="22"/>
        </w:rPr>
        <w:t>l</w:t>
      </w:r>
      <w:r w:rsidRPr="0001535D">
        <w:rPr>
          <w:rFonts w:cs="Times New Roman"/>
          <w:b/>
          <w:sz w:val="22"/>
          <w:szCs w:val="22"/>
        </w:rPr>
        <w:t>ab</w:t>
      </w:r>
      <w:r w:rsidR="00341E78">
        <w:rPr>
          <w:rFonts w:cs="Times New Roman"/>
          <w:b/>
          <w:sz w:val="22"/>
          <w:szCs w:val="22"/>
        </w:rPr>
        <w:t xml:space="preserve"> for sample analysis funded </w:t>
      </w:r>
      <w:r w:rsidR="00B2742B">
        <w:rPr>
          <w:rFonts w:cs="Times New Roman"/>
          <w:b/>
          <w:sz w:val="22"/>
          <w:szCs w:val="22"/>
        </w:rPr>
        <w:t xml:space="preserve">directly </w:t>
      </w:r>
      <w:r w:rsidR="00341E78">
        <w:rPr>
          <w:rFonts w:cs="Times New Roman"/>
          <w:b/>
          <w:sz w:val="22"/>
          <w:szCs w:val="22"/>
        </w:rPr>
        <w:t>t</w:t>
      </w:r>
      <w:r w:rsidR="00B2742B">
        <w:rPr>
          <w:rFonts w:cs="Times New Roman"/>
          <w:b/>
          <w:sz w:val="22"/>
          <w:szCs w:val="22"/>
        </w:rPr>
        <w:t xml:space="preserve">hrough </w:t>
      </w:r>
      <w:r w:rsidR="00341E78">
        <w:rPr>
          <w:rFonts w:cs="Times New Roman"/>
          <w:b/>
          <w:sz w:val="22"/>
          <w:szCs w:val="22"/>
        </w:rPr>
        <w:t>this study.</w:t>
      </w:r>
    </w:p>
    <w:tbl>
      <w:tblPr>
        <w:tblW w:w="11802" w:type="dxa"/>
        <w:tblInd w:w="78" w:type="dxa"/>
        <w:tblLayout w:type="fixed"/>
        <w:tblLook w:val="0000" w:firstRow="0" w:lastRow="0" w:firstColumn="0" w:lastColumn="0" w:noHBand="0" w:noVBand="0"/>
      </w:tblPr>
      <w:tblGrid>
        <w:gridCol w:w="1110"/>
        <w:gridCol w:w="211"/>
        <w:gridCol w:w="1409"/>
        <w:gridCol w:w="344"/>
        <w:gridCol w:w="376"/>
        <w:gridCol w:w="547"/>
        <w:gridCol w:w="803"/>
        <w:gridCol w:w="1170"/>
        <w:gridCol w:w="1260"/>
        <w:gridCol w:w="1170"/>
        <w:gridCol w:w="3402"/>
      </w:tblGrid>
      <w:tr w:rsidR="0001535D" w:rsidRPr="00BE14E6" w:rsidTr="00BD30E2">
        <w:trPr>
          <w:trHeight w:hRule="exact" w:val="230"/>
        </w:trPr>
        <w:tc>
          <w:tcPr>
            <w:tcW w:w="1321"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b/>
                <w:bCs/>
                <w:color w:val="000000"/>
                <w:sz w:val="18"/>
              </w:rPr>
            </w:pPr>
          </w:p>
        </w:tc>
        <w:tc>
          <w:tcPr>
            <w:tcW w:w="1753"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b/>
                <w:bCs/>
                <w:color w:val="000000"/>
                <w:sz w:val="18"/>
              </w:rPr>
            </w:pPr>
          </w:p>
        </w:tc>
        <w:tc>
          <w:tcPr>
            <w:tcW w:w="923"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803"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 xml:space="preserve">TSS </w:t>
            </w:r>
          </w:p>
        </w:tc>
        <w:tc>
          <w:tcPr>
            <w:tcW w:w="126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Total P</w:t>
            </w: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Dis Total P</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321"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1753"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923" w:type="dxa"/>
            <w:gridSpan w:val="2"/>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803"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mg/L</w:t>
            </w:r>
          </w:p>
        </w:tc>
        <w:tc>
          <w:tcPr>
            <w:tcW w:w="126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mg/L</w:t>
            </w: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mg/L</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1620" w:type="dxa"/>
            <w:gridSpan w:val="2"/>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720" w:type="dxa"/>
            <w:gridSpan w:val="2"/>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right"/>
              <w:rPr>
                <w:rFonts w:ascii="Arial" w:hAnsi="Arial" w:cs="Arial"/>
                <w:color w:val="000000"/>
                <w:sz w:val="18"/>
                <w:szCs w:val="20"/>
              </w:rPr>
            </w:pPr>
          </w:p>
        </w:tc>
        <w:tc>
          <w:tcPr>
            <w:tcW w:w="1350" w:type="dxa"/>
            <w:gridSpan w:val="2"/>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Sample</w:t>
            </w:r>
          </w:p>
        </w:tc>
        <w:tc>
          <w:tcPr>
            <w:tcW w:w="1170" w:type="dxa"/>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szCs w:val="20"/>
              </w:rPr>
            </w:pPr>
            <w:r w:rsidRPr="00BE14E6">
              <w:rPr>
                <w:rFonts w:ascii="Arial" w:hAnsi="Arial" w:cs="Arial"/>
                <w:color w:val="000000"/>
                <w:sz w:val="18"/>
                <w:szCs w:val="20"/>
              </w:rPr>
              <w:t>depends on</w:t>
            </w:r>
          </w:p>
        </w:tc>
        <w:tc>
          <w:tcPr>
            <w:tcW w:w="126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LOD=0.038</w:t>
            </w: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0.038</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Lab No.</w:t>
            </w:r>
          </w:p>
        </w:tc>
        <w:tc>
          <w:tcPr>
            <w:tcW w:w="1620" w:type="dxa"/>
            <w:gridSpan w:val="2"/>
            <w:tcBorders>
              <w:top w:val="nil"/>
              <w:left w:val="single" w:sz="6" w:space="0" w:color="000000"/>
              <w:bottom w:val="nil"/>
              <w:right w:val="single" w:sz="6" w:space="0" w:color="000000"/>
            </w:tcBorders>
          </w:tcPr>
          <w:p w:rsidR="0001535D" w:rsidRPr="00BE14E6" w:rsidRDefault="0001535D" w:rsidP="00461FF5">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 xml:space="preserve">Sample </w:t>
            </w:r>
            <w:r w:rsidR="00461FF5">
              <w:rPr>
                <w:rFonts w:ascii="Arial" w:hAnsi="Arial" w:cs="Arial"/>
                <w:b/>
                <w:bCs/>
                <w:color w:val="000000"/>
                <w:sz w:val="18"/>
              </w:rPr>
              <w:t>Label</w:t>
            </w:r>
            <w:r w:rsidRPr="00BE14E6">
              <w:rPr>
                <w:rFonts w:ascii="Arial" w:hAnsi="Arial" w:cs="Arial"/>
                <w:b/>
                <w:bCs/>
                <w:color w:val="000000"/>
                <w:sz w:val="18"/>
              </w:rPr>
              <w:t xml:space="preserve"> </w:t>
            </w:r>
          </w:p>
        </w:tc>
        <w:tc>
          <w:tcPr>
            <w:tcW w:w="720" w:type="dxa"/>
            <w:gridSpan w:val="2"/>
            <w:tcBorders>
              <w:top w:val="nil"/>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Time</w:t>
            </w:r>
          </w:p>
        </w:tc>
        <w:tc>
          <w:tcPr>
            <w:tcW w:w="1350" w:type="dxa"/>
            <w:gridSpan w:val="2"/>
            <w:tcBorders>
              <w:top w:val="nil"/>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b/>
                <w:bCs/>
                <w:color w:val="000000"/>
                <w:sz w:val="18"/>
              </w:rPr>
            </w:pPr>
            <w:r w:rsidRPr="00BE14E6">
              <w:rPr>
                <w:rFonts w:ascii="Arial" w:hAnsi="Arial" w:cs="Arial"/>
                <w:b/>
                <w:bCs/>
                <w:color w:val="000000"/>
                <w:sz w:val="18"/>
              </w:rPr>
              <w:t>Date</w:t>
            </w:r>
          </w:p>
        </w:tc>
        <w:tc>
          <w:tcPr>
            <w:tcW w:w="1170" w:type="dxa"/>
            <w:tcBorders>
              <w:top w:val="nil"/>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volume</w:t>
            </w:r>
          </w:p>
        </w:tc>
        <w:tc>
          <w:tcPr>
            <w:tcW w:w="1260" w:type="dxa"/>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LOQ=0.119</w:t>
            </w:r>
          </w:p>
        </w:tc>
        <w:tc>
          <w:tcPr>
            <w:tcW w:w="1170" w:type="dxa"/>
            <w:tcBorders>
              <w:top w:val="single" w:sz="6" w:space="0" w:color="000000"/>
              <w:left w:val="single" w:sz="6" w:space="0" w:color="000000"/>
              <w:bottom w:val="nil"/>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0.119</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10679</w:t>
            </w:r>
          </w:p>
        </w:tc>
        <w:tc>
          <w:tcPr>
            <w:tcW w:w="1620" w:type="dxa"/>
            <w:gridSpan w:val="2"/>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053690-DU-201</w:t>
            </w:r>
          </w:p>
        </w:tc>
        <w:tc>
          <w:tcPr>
            <w:tcW w:w="720" w:type="dxa"/>
            <w:gridSpan w:val="2"/>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11:10</w:t>
            </w:r>
          </w:p>
        </w:tc>
        <w:tc>
          <w:tcPr>
            <w:tcW w:w="1350" w:type="dxa"/>
            <w:gridSpan w:val="2"/>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8/29/2011</w:t>
            </w:r>
          </w:p>
        </w:tc>
        <w:tc>
          <w:tcPr>
            <w:tcW w:w="1170" w:type="dxa"/>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7.5</w:t>
            </w:r>
          </w:p>
        </w:tc>
        <w:tc>
          <w:tcPr>
            <w:tcW w:w="1260" w:type="dxa"/>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0.182</w:t>
            </w:r>
          </w:p>
        </w:tc>
        <w:tc>
          <w:tcPr>
            <w:tcW w:w="1170" w:type="dxa"/>
            <w:tcBorders>
              <w:top w:val="single" w:sz="6" w:space="0" w:color="auto"/>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0.143</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11223</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053690-DU-202</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14:00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9/9/2011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0.147</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0.090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12460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053690-DU-203</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9:10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10/5/2011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2.9</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0.163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0.122</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13788</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053690-DU-204</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10:25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11/4/2011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&lt;3.3</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0.150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0.120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13789</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053690-DU-205</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10:10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11/10/2011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0.280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0.220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14531</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053690-DU-206</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14:15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11/24/2011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&lt;2.1</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&lt;0.038</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15490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053690-DU-207</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13:15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12/16/2011</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3.8</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&lt;0.038</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&lt;0.038</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439</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053690-DU-208</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1/11/2012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&lt;2.5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2092</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053690-DU-209</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16:30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2/17/2012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3.6</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0.053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2665</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053690-DU-210</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11:40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3/5/2012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0.087</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0.049</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2921</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053690-DU-211</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9:45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3/10/2012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19</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0.368</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0.154</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3400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053690-DU-212</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17:25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3/20/2012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6.3</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0.097</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0.066</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3829</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053690-DU-213</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3/29/2012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0.090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0.070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3828</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053690-DU-214</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19:35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3/31/2012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0.060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4130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053690-DU-215</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16:15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4/4/2012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0.032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4235</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053690-DU-216</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14:45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4/13/2012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0.327</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&lt;.030</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4644</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053690-DU-217</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4/20/2012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22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0.115</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0.091</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4740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053690-DU-218</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4/26/2012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&lt;2.5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0.044</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BE14E6" w:rsidRDefault="0001535D" w:rsidP="001439BE">
            <w:pPr>
              <w:autoSpaceDE w:val="0"/>
              <w:autoSpaceDN w:val="0"/>
              <w:adjustRightInd w:val="0"/>
              <w:jc w:val="right"/>
              <w:rPr>
                <w:rFonts w:ascii="Arial" w:hAnsi="Arial" w:cs="Arial"/>
                <w:color w:val="000000"/>
                <w:sz w:val="18"/>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5126</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053690-DU-219</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15:50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5/4/2012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80</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b/>
                <w:bCs/>
                <w:sz w:val="18"/>
              </w:rPr>
            </w:pPr>
            <w:r w:rsidRPr="00BE14E6">
              <w:rPr>
                <w:rFonts w:ascii="Arial" w:hAnsi="Arial" w:cs="Arial"/>
                <w:b/>
                <w:bCs/>
                <w:sz w:val="18"/>
              </w:rPr>
              <w:t>2.560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0.552</w:t>
            </w:r>
          </w:p>
        </w:tc>
        <w:tc>
          <w:tcPr>
            <w:tcW w:w="3402" w:type="dxa"/>
            <w:tcBorders>
              <w:top w:val="nil"/>
              <w:left w:val="nil"/>
              <w:bottom w:val="nil"/>
              <w:right w:val="nil"/>
            </w:tcBorders>
          </w:tcPr>
          <w:p w:rsidR="0001535D" w:rsidRPr="005E53C5" w:rsidRDefault="00AE4B1A" w:rsidP="00AE4B1A">
            <w:pPr>
              <w:autoSpaceDE w:val="0"/>
              <w:autoSpaceDN w:val="0"/>
              <w:adjustRightInd w:val="0"/>
              <w:rPr>
                <w:rFonts w:ascii="Arial" w:hAnsi="Arial" w:cs="Arial"/>
                <w:color w:val="000000"/>
                <w:sz w:val="16"/>
                <w:szCs w:val="20"/>
              </w:rPr>
            </w:pPr>
            <w:r w:rsidRPr="005E53C5">
              <w:rPr>
                <w:rFonts w:ascii="Arial" w:hAnsi="Arial" w:cs="Arial"/>
                <w:bCs/>
                <w:sz w:val="16"/>
              </w:rPr>
              <w:t>Possible Outlier, P.B.</w:t>
            </w: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5365</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053690-DU-220</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17:10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5/7/2012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48</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0.206</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0.074</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5366</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053690-DU-221</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15:40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5/9/2012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17</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0.093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5969</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053690-DU-222</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14:05</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5/23/2012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5.6</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0.057</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&lt;0.030</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6158</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053690-DU-223</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12:20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5/30/2012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7.0</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0.160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6480</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053690-DU-224</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10:50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6/7/2012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&lt;10.0</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rsidR="0001535D" w:rsidRPr="00BE14E6" w:rsidRDefault="00AE4B1A" w:rsidP="00AE4B1A">
            <w:pPr>
              <w:autoSpaceDE w:val="0"/>
              <w:autoSpaceDN w:val="0"/>
              <w:adjustRightInd w:val="0"/>
              <w:jc w:val="center"/>
              <w:rPr>
                <w:rFonts w:ascii="Arial" w:hAnsi="Arial" w:cs="Arial"/>
                <w:b/>
                <w:sz w:val="18"/>
              </w:rPr>
            </w:pPr>
            <w:r w:rsidRPr="00BE14E6">
              <w:rPr>
                <w:rFonts w:ascii="Arial" w:hAnsi="Arial" w:cs="Arial"/>
                <w:b/>
                <w:sz w:val="18"/>
              </w:rPr>
              <w:t>1.090</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rsidR="0001535D" w:rsidRPr="00BE14E6" w:rsidRDefault="00AE4B1A" w:rsidP="00AE4B1A">
            <w:pPr>
              <w:autoSpaceDE w:val="0"/>
              <w:autoSpaceDN w:val="0"/>
              <w:adjustRightInd w:val="0"/>
              <w:jc w:val="center"/>
              <w:rPr>
                <w:rFonts w:ascii="Arial" w:hAnsi="Arial" w:cs="Arial"/>
                <w:color w:val="000000"/>
                <w:sz w:val="18"/>
              </w:rPr>
            </w:pPr>
            <w:r w:rsidRPr="00BE14E6">
              <w:rPr>
                <w:rFonts w:ascii="Arial" w:hAnsi="Arial" w:cs="Arial"/>
                <w:color w:val="000000"/>
                <w:sz w:val="18"/>
              </w:rPr>
              <w:t>0.648</w:t>
            </w:r>
          </w:p>
        </w:tc>
        <w:tc>
          <w:tcPr>
            <w:tcW w:w="3402" w:type="dxa"/>
            <w:tcBorders>
              <w:top w:val="nil"/>
              <w:left w:val="nil"/>
              <w:bottom w:val="nil"/>
              <w:right w:val="nil"/>
            </w:tcBorders>
            <w:shd w:val="clear" w:color="C0C0C0" w:fill="auto"/>
          </w:tcPr>
          <w:p w:rsidR="0001535D" w:rsidRPr="005E53C5" w:rsidRDefault="00AE4B1A" w:rsidP="00AE4B1A">
            <w:pPr>
              <w:autoSpaceDE w:val="0"/>
              <w:autoSpaceDN w:val="0"/>
              <w:adjustRightInd w:val="0"/>
              <w:rPr>
                <w:rFonts w:ascii="Arial" w:hAnsi="Arial" w:cs="Arial"/>
                <w:bCs/>
                <w:color w:val="000000"/>
                <w:sz w:val="16"/>
              </w:rPr>
            </w:pPr>
            <w:r w:rsidRPr="005E53C5">
              <w:rPr>
                <w:rFonts w:ascii="Arial" w:hAnsi="Arial" w:cs="Arial"/>
                <w:bCs/>
                <w:color w:val="000000"/>
                <w:sz w:val="16"/>
              </w:rPr>
              <w:t xml:space="preserve">Reversed Reported TP and DP, P.B.; </w:t>
            </w:r>
            <w:r w:rsidR="0001535D" w:rsidRPr="005E53C5">
              <w:rPr>
                <w:rFonts w:ascii="Arial" w:hAnsi="Arial" w:cs="Arial"/>
                <w:bCs/>
                <w:color w:val="000000"/>
                <w:sz w:val="16"/>
              </w:rPr>
              <w:t>Results Verified</w:t>
            </w: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6999</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053690-DU-225</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19:30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6/17/2012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0.234</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0.115</w:t>
            </w:r>
          </w:p>
        </w:tc>
        <w:tc>
          <w:tcPr>
            <w:tcW w:w="3402" w:type="dxa"/>
            <w:tcBorders>
              <w:top w:val="nil"/>
              <w:left w:val="nil"/>
              <w:bottom w:val="nil"/>
              <w:right w:val="nil"/>
            </w:tcBorders>
            <w:shd w:val="solid" w:color="FFFFFF" w:fill="auto"/>
          </w:tcPr>
          <w:p w:rsidR="0001535D" w:rsidRPr="005E53C5" w:rsidRDefault="0001535D" w:rsidP="001439BE">
            <w:pPr>
              <w:autoSpaceDE w:val="0"/>
              <w:autoSpaceDN w:val="0"/>
              <w:adjustRightInd w:val="0"/>
              <w:jc w:val="right"/>
              <w:rPr>
                <w:rFonts w:ascii="Arial" w:hAnsi="Arial" w:cs="Arial"/>
                <w:color w:val="000000"/>
                <w:sz w:val="16"/>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120248-06</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053690-DU-226</w:t>
            </w:r>
          </w:p>
        </w:tc>
        <w:tc>
          <w:tcPr>
            <w:tcW w:w="7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9:50</w:t>
            </w:r>
          </w:p>
        </w:tc>
        <w:tc>
          <w:tcPr>
            <w:tcW w:w="135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6/22/2012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0.328</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0.223</w:t>
            </w:r>
          </w:p>
        </w:tc>
        <w:tc>
          <w:tcPr>
            <w:tcW w:w="3402" w:type="dxa"/>
            <w:tcBorders>
              <w:top w:val="nil"/>
              <w:left w:val="nil"/>
              <w:bottom w:val="nil"/>
              <w:right w:val="nil"/>
            </w:tcBorders>
            <w:shd w:val="solid" w:color="FFFFFF" w:fill="auto"/>
          </w:tcPr>
          <w:p w:rsidR="0001535D" w:rsidRPr="005E53C5" w:rsidRDefault="0001535D" w:rsidP="001439BE">
            <w:pPr>
              <w:autoSpaceDE w:val="0"/>
              <w:autoSpaceDN w:val="0"/>
              <w:adjustRightInd w:val="0"/>
              <w:jc w:val="right"/>
              <w:rPr>
                <w:rFonts w:ascii="Arial" w:hAnsi="Arial" w:cs="Arial"/>
                <w:color w:val="000000"/>
                <w:sz w:val="16"/>
              </w:rPr>
            </w:pPr>
          </w:p>
        </w:tc>
      </w:tr>
      <w:tr w:rsidR="0001535D" w:rsidRPr="00BE14E6" w:rsidTr="00BD30E2">
        <w:trPr>
          <w:trHeight w:hRule="exact" w:val="230"/>
        </w:trPr>
        <w:tc>
          <w:tcPr>
            <w:tcW w:w="1110" w:type="dxa"/>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120283-01</w:t>
            </w:r>
          </w:p>
        </w:tc>
        <w:tc>
          <w:tcPr>
            <w:tcW w:w="1620" w:type="dxa"/>
            <w:gridSpan w:val="2"/>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053690-DU-227</w:t>
            </w:r>
          </w:p>
        </w:tc>
        <w:tc>
          <w:tcPr>
            <w:tcW w:w="720" w:type="dxa"/>
            <w:gridSpan w:val="2"/>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18:40</w:t>
            </w:r>
          </w:p>
        </w:tc>
        <w:tc>
          <w:tcPr>
            <w:tcW w:w="1350" w:type="dxa"/>
            <w:gridSpan w:val="2"/>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6/30/2012</w:t>
            </w:r>
          </w:p>
        </w:tc>
        <w:tc>
          <w:tcPr>
            <w:tcW w:w="1170" w:type="dxa"/>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12.8</w:t>
            </w:r>
          </w:p>
        </w:tc>
        <w:tc>
          <w:tcPr>
            <w:tcW w:w="1260" w:type="dxa"/>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0.359</w:t>
            </w:r>
          </w:p>
        </w:tc>
        <w:tc>
          <w:tcPr>
            <w:tcW w:w="1170" w:type="dxa"/>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shd w:val="solid" w:color="FFFFFF" w:fill="auto"/>
          </w:tcPr>
          <w:p w:rsidR="0001535D" w:rsidRPr="005E53C5" w:rsidRDefault="0001535D" w:rsidP="001439BE">
            <w:pPr>
              <w:autoSpaceDE w:val="0"/>
              <w:autoSpaceDN w:val="0"/>
              <w:adjustRightInd w:val="0"/>
              <w:jc w:val="right"/>
              <w:rPr>
                <w:rFonts w:ascii="Arial" w:hAnsi="Arial" w:cs="Arial"/>
                <w:color w:val="000000"/>
                <w:sz w:val="16"/>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120325-07</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053690-DU-228</w:t>
            </w:r>
          </w:p>
        </w:tc>
        <w:tc>
          <w:tcPr>
            <w:tcW w:w="720" w:type="dxa"/>
            <w:gridSpan w:val="2"/>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10:10</w:t>
            </w:r>
          </w:p>
        </w:tc>
        <w:tc>
          <w:tcPr>
            <w:tcW w:w="1350" w:type="dxa"/>
            <w:gridSpan w:val="2"/>
            <w:tcBorders>
              <w:top w:val="single" w:sz="6" w:space="0" w:color="000000"/>
              <w:left w:val="single" w:sz="6" w:space="0" w:color="000000"/>
              <w:bottom w:val="single" w:sz="6" w:space="0" w:color="auto"/>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7/13/2012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11.6</w:t>
            </w:r>
          </w:p>
        </w:tc>
        <w:tc>
          <w:tcPr>
            <w:tcW w:w="126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sz w:val="18"/>
              </w:rPr>
            </w:pPr>
            <w:r w:rsidRPr="00BE14E6">
              <w:rPr>
                <w:rFonts w:ascii="Arial" w:hAnsi="Arial" w:cs="Arial"/>
                <w:sz w:val="18"/>
              </w:rPr>
              <w:t>0.290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0.244</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b/>
                <w:bCs/>
                <w:color w:val="000000"/>
                <w:sz w:val="16"/>
              </w:rPr>
            </w:pPr>
          </w:p>
        </w:tc>
      </w:tr>
      <w:tr w:rsidR="0001535D" w:rsidRPr="00BE14E6" w:rsidTr="00BD30E2">
        <w:trPr>
          <w:trHeight w:hRule="exact" w:val="230"/>
        </w:trPr>
        <w:tc>
          <w:tcPr>
            <w:tcW w:w="111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120395-03</w:t>
            </w:r>
          </w:p>
        </w:tc>
        <w:tc>
          <w:tcPr>
            <w:tcW w:w="1620" w:type="dxa"/>
            <w:gridSpan w:val="2"/>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053690-DU-229</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8:45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7/26/2012</w:t>
            </w:r>
          </w:p>
        </w:tc>
        <w:tc>
          <w:tcPr>
            <w:tcW w:w="1170" w:type="dxa"/>
            <w:tcBorders>
              <w:top w:val="nil"/>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9</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rsidR="0001535D" w:rsidRPr="00BE14E6" w:rsidRDefault="0001535D" w:rsidP="001439BE">
            <w:pPr>
              <w:autoSpaceDE w:val="0"/>
              <w:autoSpaceDN w:val="0"/>
              <w:adjustRightInd w:val="0"/>
              <w:jc w:val="center"/>
              <w:rPr>
                <w:rFonts w:ascii="Arial" w:hAnsi="Arial" w:cs="Arial"/>
                <w:b/>
                <w:bCs/>
                <w:sz w:val="18"/>
              </w:rPr>
            </w:pPr>
            <w:r w:rsidRPr="00BE14E6">
              <w:rPr>
                <w:rFonts w:ascii="Arial" w:hAnsi="Arial" w:cs="Arial"/>
                <w:b/>
                <w:bCs/>
                <w:sz w:val="18"/>
              </w:rPr>
              <w:t>3.037</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X</w:t>
            </w:r>
          </w:p>
        </w:tc>
        <w:tc>
          <w:tcPr>
            <w:tcW w:w="3402" w:type="dxa"/>
            <w:tcBorders>
              <w:top w:val="nil"/>
              <w:left w:val="nil"/>
              <w:bottom w:val="nil"/>
              <w:right w:val="nil"/>
            </w:tcBorders>
            <w:shd w:val="clear" w:color="C0C0C0" w:fill="auto"/>
          </w:tcPr>
          <w:p w:rsidR="00AE4B1A" w:rsidRPr="005E53C5" w:rsidRDefault="00AE4B1A" w:rsidP="001439BE">
            <w:pPr>
              <w:autoSpaceDE w:val="0"/>
              <w:autoSpaceDN w:val="0"/>
              <w:adjustRightInd w:val="0"/>
              <w:rPr>
                <w:rFonts w:ascii="Arial" w:hAnsi="Arial" w:cs="Arial"/>
                <w:bCs/>
                <w:color w:val="000000"/>
                <w:sz w:val="16"/>
              </w:rPr>
            </w:pPr>
            <w:r w:rsidRPr="005E53C5">
              <w:rPr>
                <w:rFonts w:ascii="Arial" w:hAnsi="Arial" w:cs="Arial"/>
                <w:bCs/>
                <w:color w:val="000000"/>
                <w:sz w:val="16"/>
              </w:rPr>
              <w:t>Possible Outlier</w:t>
            </w:r>
          </w:p>
          <w:p w:rsidR="0001535D" w:rsidRPr="005E53C5" w:rsidRDefault="0001535D" w:rsidP="005E53C5">
            <w:pPr>
              <w:autoSpaceDE w:val="0"/>
              <w:autoSpaceDN w:val="0"/>
              <w:adjustRightInd w:val="0"/>
              <w:rPr>
                <w:rFonts w:ascii="Arial" w:hAnsi="Arial" w:cs="Arial"/>
                <w:color w:val="000000"/>
                <w:sz w:val="16"/>
              </w:rPr>
            </w:pPr>
            <w:r w:rsidRPr="005E53C5">
              <w:rPr>
                <w:rFonts w:ascii="Arial" w:hAnsi="Arial" w:cs="Arial"/>
                <w:bCs/>
                <w:color w:val="000000"/>
                <w:sz w:val="16"/>
              </w:rPr>
              <w:t>Verified</w:t>
            </w:r>
            <w:r w:rsidRPr="005E53C5">
              <w:rPr>
                <w:rFonts w:ascii="Arial" w:hAnsi="Arial" w:cs="Arial"/>
                <w:color w:val="000000"/>
                <w:sz w:val="16"/>
              </w:rPr>
              <w:t xml:space="preserve"> at 3.085 mg/L</w:t>
            </w:r>
          </w:p>
        </w:tc>
      </w:tr>
      <w:tr w:rsidR="0001535D"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120457-09</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053690-DU-230</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8/8/2012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6.8</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0.203</w:t>
            </w:r>
          </w:p>
        </w:tc>
        <w:tc>
          <w:tcPr>
            <w:tcW w:w="1170" w:type="dxa"/>
            <w:tcBorders>
              <w:top w:val="single" w:sz="6" w:space="0" w:color="000000"/>
              <w:left w:val="single" w:sz="6" w:space="0" w:color="000000"/>
              <w:bottom w:val="single" w:sz="6" w:space="0" w:color="000000"/>
              <w:right w:val="single" w:sz="6" w:space="0" w:color="000000"/>
            </w:tcBorders>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0.169</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01535D"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120536-01</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053690-DU-231</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10:35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8/24/2012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12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0.162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tcPr>
          <w:p w:rsidR="0001535D" w:rsidRPr="00BE14E6" w:rsidRDefault="0001535D" w:rsidP="001439BE">
            <w:pPr>
              <w:autoSpaceDE w:val="0"/>
              <w:autoSpaceDN w:val="0"/>
              <w:adjustRightInd w:val="0"/>
              <w:jc w:val="center"/>
              <w:rPr>
                <w:rFonts w:ascii="Arial" w:hAnsi="Arial" w:cs="Arial"/>
                <w:color w:val="000000"/>
                <w:sz w:val="18"/>
              </w:rPr>
            </w:pPr>
            <w:r w:rsidRPr="00BE14E6">
              <w:rPr>
                <w:rFonts w:ascii="Arial" w:hAnsi="Arial" w:cs="Arial"/>
                <w:color w:val="000000"/>
                <w:sz w:val="18"/>
              </w:rPr>
              <w:t>0.075</w:t>
            </w:r>
          </w:p>
        </w:tc>
        <w:tc>
          <w:tcPr>
            <w:tcW w:w="3402" w:type="dxa"/>
            <w:tcBorders>
              <w:top w:val="nil"/>
              <w:left w:val="nil"/>
              <w:bottom w:val="nil"/>
              <w:right w:val="nil"/>
            </w:tcBorders>
          </w:tcPr>
          <w:p w:rsidR="0001535D" w:rsidRPr="005E53C5" w:rsidRDefault="0001535D" w:rsidP="001439BE">
            <w:pPr>
              <w:autoSpaceDE w:val="0"/>
              <w:autoSpaceDN w:val="0"/>
              <w:adjustRightInd w:val="0"/>
              <w:jc w:val="right"/>
              <w:rPr>
                <w:rFonts w:ascii="Arial" w:hAnsi="Arial" w:cs="Arial"/>
                <w:color w:val="000000"/>
                <w:sz w:val="16"/>
                <w:szCs w:val="20"/>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120755-01</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0053690-DU232</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17:25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10/28/2012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2.22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0.082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0.081</w:t>
            </w:r>
          </w:p>
        </w:tc>
        <w:tc>
          <w:tcPr>
            <w:tcW w:w="3402" w:type="dxa"/>
            <w:tcBorders>
              <w:top w:val="nil"/>
              <w:left w:val="nil"/>
              <w:bottom w:val="nil"/>
              <w:right w:val="nil"/>
            </w:tcBorders>
            <w:vAlign w:val="bottom"/>
          </w:tcPr>
          <w:p w:rsidR="009C19BF" w:rsidRPr="005E53C5" w:rsidRDefault="009C19BF">
            <w:pPr>
              <w:rPr>
                <w:rFonts w:ascii="Arial" w:hAnsi="Arial" w:cs="Arial"/>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120889-07</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053690-DU-233</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12:40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12/13/2012</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bCs/>
                <w:sz w:val="18"/>
              </w:rPr>
            </w:pPr>
            <w:r w:rsidRPr="00BE14E6">
              <w:rPr>
                <w:rFonts w:ascii="Arial" w:hAnsi="Arial" w:cs="Arial"/>
                <w:bCs/>
                <w:sz w:val="18"/>
              </w:rPr>
              <w:t>0.175</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bCs/>
                <w:sz w:val="18"/>
              </w:rPr>
            </w:pPr>
            <w:r w:rsidRPr="00BE14E6">
              <w:rPr>
                <w:rFonts w:ascii="Arial" w:hAnsi="Arial" w:cs="Arial"/>
                <w:bCs/>
                <w:sz w:val="18"/>
              </w:rPr>
              <w:t>&lt;0.03</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r w:rsidRPr="00BE14E6">
              <w:rPr>
                <w:rFonts w:ascii="Calibri" w:hAnsi="Calibri"/>
                <w:color w:val="000000"/>
                <w:sz w:val="16"/>
                <w:szCs w:val="22"/>
              </w:rPr>
              <w:t>REVERSED reported TP and DP values</w:t>
            </w: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130970-10</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053690-DU-234</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16:45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1/9/2013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&lt;2.5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&lt;0.030</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131200-30</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053690-DU-235</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2:45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3/14/2013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14.4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0.238</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0.188</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131259-29</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053690-DU-236</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14:20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3/29/2013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29.2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0.306</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0.177</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131296-01</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053690-DU-237</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15:00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4/12/2013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27.2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b/>
                <w:bCs/>
                <w:sz w:val="18"/>
              </w:rPr>
            </w:pPr>
            <w:r w:rsidRPr="00BE14E6">
              <w:rPr>
                <w:rFonts w:ascii="Arial" w:hAnsi="Arial" w:cs="Arial"/>
                <w:b/>
                <w:bCs/>
                <w:sz w:val="18"/>
              </w:rPr>
              <w:t>5.664</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0.233</w:t>
            </w:r>
          </w:p>
        </w:tc>
        <w:tc>
          <w:tcPr>
            <w:tcW w:w="3402" w:type="dxa"/>
            <w:tcBorders>
              <w:top w:val="nil"/>
              <w:left w:val="nil"/>
              <w:bottom w:val="nil"/>
              <w:right w:val="nil"/>
            </w:tcBorders>
            <w:vAlign w:val="bottom"/>
          </w:tcPr>
          <w:p w:rsidR="009C19BF" w:rsidRPr="00BE14E6" w:rsidRDefault="00AE4B1A" w:rsidP="00AE4B1A">
            <w:pPr>
              <w:rPr>
                <w:rFonts w:ascii="Arial" w:hAnsi="Arial" w:cs="Arial"/>
                <w:bCs/>
                <w:sz w:val="16"/>
              </w:rPr>
            </w:pPr>
            <w:r w:rsidRPr="00BE14E6">
              <w:rPr>
                <w:rFonts w:ascii="Arial" w:hAnsi="Arial" w:cs="Arial"/>
                <w:bCs/>
                <w:sz w:val="16"/>
              </w:rPr>
              <w:t xml:space="preserve">Possible Outlier, </w:t>
            </w:r>
            <w:r w:rsidR="009C19BF" w:rsidRPr="00BE14E6">
              <w:rPr>
                <w:rFonts w:ascii="Arial" w:hAnsi="Arial" w:cs="Arial"/>
                <w:bCs/>
                <w:sz w:val="16"/>
              </w:rPr>
              <w:t>P.B.</w:t>
            </w: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131321-33</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053690-DU-238</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9:00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4/24/2013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8</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3402" w:type="dxa"/>
            <w:tcBorders>
              <w:top w:val="nil"/>
              <w:left w:val="nil"/>
              <w:bottom w:val="nil"/>
              <w:right w:val="nil"/>
            </w:tcBorders>
            <w:vAlign w:val="bottom"/>
          </w:tcPr>
          <w:p w:rsidR="009C19BF" w:rsidRPr="00BE14E6" w:rsidRDefault="009C19BF">
            <w:pPr>
              <w:rPr>
                <w:rFonts w:ascii="Arial" w:hAnsi="Arial" w:cs="Arial"/>
                <w:sz w:val="16"/>
              </w:rPr>
            </w:pPr>
            <w:r w:rsidRPr="00BE14E6">
              <w:rPr>
                <w:rFonts w:ascii="Arial" w:hAnsi="Arial" w:cs="Arial"/>
                <w:sz w:val="16"/>
              </w:rPr>
              <w:t> </w:t>
            </w: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131357-17</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053690-DU-239</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14:00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5/4/2013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8.5</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0.066</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3402" w:type="dxa"/>
            <w:tcBorders>
              <w:top w:val="nil"/>
              <w:left w:val="nil"/>
              <w:bottom w:val="nil"/>
              <w:right w:val="nil"/>
            </w:tcBorders>
            <w:vAlign w:val="bottom"/>
          </w:tcPr>
          <w:p w:rsidR="009C19BF" w:rsidRPr="00BE14E6" w:rsidRDefault="009C19BF">
            <w:pPr>
              <w:rPr>
                <w:rFonts w:ascii="Arial" w:hAnsi="Arial" w:cs="Arial"/>
                <w:sz w:val="16"/>
              </w:rPr>
            </w:pPr>
            <w:r w:rsidRPr="00BE14E6">
              <w:rPr>
                <w:rFonts w:ascii="Arial" w:hAnsi="Arial" w:cs="Arial"/>
                <w:sz w:val="16"/>
              </w:rPr>
              <w:t> </w:t>
            </w: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131357-19</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053690-DU-240</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9:20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5/6/2013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4.4</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3402" w:type="dxa"/>
            <w:tcBorders>
              <w:top w:val="nil"/>
              <w:left w:val="nil"/>
              <w:bottom w:val="nil"/>
              <w:right w:val="nil"/>
            </w:tcBorders>
            <w:vAlign w:val="bottom"/>
          </w:tcPr>
          <w:p w:rsidR="009C19BF" w:rsidRPr="00BE14E6" w:rsidRDefault="009C19BF" w:rsidP="00314645">
            <w:pPr>
              <w:rPr>
                <w:rFonts w:ascii="Calibri" w:hAnsi="Calibri"/>
                <w:color w:val="000000"/>
                <w:sz w:val="16"/>
              </w:rPr>
            </w:pPr>
            <w:r w:rsidRPr="00BE14E6">
              <w:rPr>
                <w:rFonts w:ascii="Calibri" w:hAnsi="Calibri"/>
                <w:color w:val="000000"/>
                <w:sz w:val="16"/>
                <w:szCs w:val="22"/>
              </w:rPr>
              <w:t xml:space="preserve">UPDATED per revision by GBMSD </w:t>
            </w: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131397-05</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053690-DU-241</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14:20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5/15/2013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2.2</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&lt;0.03</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131453-11</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053690-DU-242</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11:10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6/4/2013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5.1</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0.156</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0.115</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131549-01</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053690-DU-243</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9:45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7/3/2013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12.8</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0.179</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0.144</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131640-05</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053690-DU-244</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9:45</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7/30/2013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5.6</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0.280</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0.24</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r w:rsidR="009C19BF" w:rsidRPr="00BE14E6" w:rsidTr="00BD30E2">
        <w:trPr>
          <w:trHeight w:hRule="exact" w:val="230"/>
        </w:trPr>
        <w:tc>
          <w:tcPr>
            <w:tcW w:w="111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131735-04</w:t>
            </w:r>
          </w:p>
        </w:tc>
        <w:tc>
          <w:tcPr>
            <w:tcW w:w="16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053690-DU-245</w:t>
            </w:r>
          </w:p>
        </w:tc>
        <w:tc>
          <w:tcPr>
            <w:tcW w:w="72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9:30</w:t>
            </w:r>
          </w:p>
        </w:tc>
        <w:tc>
          <w:tcPr>
            <w:tcW w:w="1350" w:type="dxa"/>
            <w:gridSpan w:val="2"/>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8/29/2013</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6.6</w:t>
            </w:r>
          </w:p>
        </w:tc>
        <w:tc>
          <w:tcPr>
            <w:tcW w:w="12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0.244</w:t>
            </w:r>
          </w:p>
        </w:tc>
        <w:tc>
          <w:tcPr>
            <w:tcW w:w="117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9C19BF" w:rsidRPr="00BE14E6" w:rsidRDefault="009C19BF">
            <w:pPr>
              <w:jc w:val="center"/>
              <w:rPr>
                <w:rFonts w:ascii="Arial" w:hAnsi="Arial" w:cs="Arial"/>
                <w:color w:val="000000"/>
                <w:sz w:val="18"/>
              </w:rPr>
            </w:pPr>
            <w:r w:rsidRPr="00BE14E6">
              <w:rPr>
                <w:rFonts w:ascii="Arial" w:hAnsi="Arial" w:cs="Arial"/>
                <w:color w:val="000000"/>
                <w:sz w:val="18"/>
              </w:rPr>
              <w:t>0.213</w:t>
            </w:r>
          </w:p>
        </w:tc>
        <w:tc>
          <w:tcPr>
            <w:tcW w:w="3402" w:type="dxa"/>
            <w:tcBorders>
              <w:top w:val="nil"/>
              <w:left w:val="nil"/>
              <w:bottom w:val="nil"/>
              <w:right w:val="nil"/>
            </w:tcBorders>
            <w:vAlign w:val="bottom"/>
          </w:tcPr>
          <w:p w:rsidR="009C19BF" w:rsidRPr="00BE14E6" w:rsidRDefault="009C19BF">
            <w:pPr>
              <w:rPr>
                <w:rFonts w:ascii="Calibri" w:hAnsi="Calibri"/>
                <w:color w:val="000000"/>
                <w:sz w:val="16"/>
              </w:rPr>
            </w:pPr>
          </w:p>
        </w:tc>
      </w:tr>
    </w:tbl>
    <w:p w:rsidR="00AB67C6" w:rsidRPr="00966F4E" w:rsidRDefault="00AB67C6" w:rsidP="007334C0">
      <w:pPr>
        <w:rPr>
          <w:rFonts w:cs="Times New Roman"/>
          <w:sz w:val="22"/>
          <w:szCs w:val="22"/>
        </w:rPr>
      </w:pPr>
    </w:p>
    <w:sectPr w:rsidR="00AB67C6" w:rsidRPr="00966F4E" w:rsidSect="0096622F">
      <w:headerReference w:type="default" r:id="rId18"/>
      <w:footerReference w:type="default" r:id="rId19"/>
      <w:type w:val="continuous"/>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E7" w:rsidRDefault="00EB68E7" w:rsidP="00F46EC6">
      <w:r>
        <w:separator/>
      </w:r>
    </w:p>
    <w:p w:rsidR="00EB68E7" w:rsidRDefault="00EB68E7"/>
  </w:endnote>
  <w:endnote w:type="continuationSeparator" w:id="0">
    <w:p w:rsidR="00EB68E7" w:rsidRDefault="00EB68E7" w:rsidP="00F46EC6">
      <w:r>
        <w:continuationSeparator/>
      </w:r>
    </w:p>
    <w:p w:rsidR="00EB68E7" w:rsidRDefault="00EB6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E0" w:rsidRDefault="004A7BE0">
    <w:pPr>
      <w:pStyle w:val="Footer"/>
    </w:pPr>
  </w:p>
  <w:p w:rsidR="004A7BE0" w:rsidRDefault="004A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465028"/>
      <w:docPartObj>
        <w:docPartGallery w:val="Page Numbers (Bottom of Page)"/>
        <w:docPartUnique/>
      </w:docPartObj>
    </w:sdtPr>
    <w:sdtEndPr>
      <w:rPr>
        <w:noProof/>
      </w:rPr>
    </w:sdtEndPr>
    <w:sdtContent>
      <w:p w:rsidR="00EC3FDA" w:rsidRDefault="00EC3FDA">
        <w:pPr>
          <w:pStyle w:val="Footer"/>
          <w:jc w:val="center"/>
        </w:pPr>
        <w:r>
          <w:fldChar w:fldCharType="begin"/>
        </w:r>
        <w:r>
          <w:instrText xml:space="preserve"> PAGE   \* MERGEFORMAT </w:instrText>
        </w:r>
        <w:r>
          <w:fldChar w:fldCharType="separate"/>
        </w:r>
        <w:r w:rsidR="00DE01C9">
          <w:rPr>
            <w:noProof/>
          </w:rPr>
          <w:t>5</w:t>
        </w:r>
        <w:r>
          <w:rPr>
            <w:noProof/>
          </w:rPr>
          <w:fldChar w:fldCharType="end"/>
        </w:r>
      </w:p>
    </w:sdtContent>
  </w:sdt>
  <w:p w:rsidR="004A7BE0" w:rsidRDefault="004A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E7" w:rsidRDefault="00EB68E7" w:rsidP="00F46EC6">
      <w:r>
        <w:separator/>
      </w:r>
    </w:p>
    <w:p w:rsidR="00EB68E7" w:rsidRDefault="00EB68E7"/>
  </w:footnote>
  <w:footnote w:type="continuationSeparator" w:id="0">
    <w:p w:rsidR="00EB68E7" w:rsidRDefault="00EB68E7" w:rsidP="00F46EC6">
      <w:r>
        <w:continuationSeparator/>
      </w:r>
    </w:p>
    <w:p w:rsidR="00EB68E7" w:rsidRDefault="00EB6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2521"/>
      <w:docPartObj>
        <w:docPartGallery w:val="Page Numbers (Top of Page)"/>
        <w:docPartUnique/>
      </w:docPartObj>
    </w:sdtPr>
    <w:sdtEndPr/>
    <w:sdtContent>
      <w:p w:rsidR="004A7BE0" w:rsidRDefault="004A7BE0">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4A7BE0" w:rsidRDefault="004A7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E0" w:rsidRDefault="004A7BE0" w:rsidP="00574354">
    <w:pPr>
      <w:pStyle w:val="Header"/>
      <w:jc w:val="right"/>
    </w:pPr>
  </w:p>
  <w:p w:rsidR="004A7BE0" w:rsidRDefault="004A7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DA" w:rsidRDefault="00EC3FDA">
    <w:pPr>
      <w:pStyle w:val="Header"/>
    </w:pPr>
  </w:p>
  <w:p w:rsidR="004A7BE0" w:rsidRDefault="004A7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12C"/>
    <w:multiLevelType w:val="hybridMultilevel"/>
    <w:tmpl w:val="84927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66722"/>
    <w:multiLevelType w:val="hybridMultilevel"/>
    <w:tmpl w:val="FB687B18"/>
    <w:lvl w:ilvl="0" w:tplc="419EBCD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913BF"/>
    <w:multiLevelType w:val="multilevel"/>
    <w:tmpl w:val="4D004710"/>
    <w:lvl w:ilvl="0">
      <w:start w:val="1"/>
      <w:numFmt w:val="decimal"/>
      <w:pStyle w:val="Heading1"/>
      <w:suff w:val="space"/>
      <w:lvlText w:val="Chapter %1"/>
      <w:lvlJc w:val="left"/>
      <w:pPr>
        <w:ind w:left="1980" w:firstLine="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pStyle w:val="Heading2"/>
      <w:suff w:val="nothing"/>
      <w:lvlText w:val=""/>
      <w:lvlJc w:val="left"/>
      <w:pPr>
        <w:ind w:left="180" w:firstLine="0"/>
      </w:pPr>
    </w:lvl>
    <w:lvl w:ilvl="2">
      <w:start w:val="1"/>
      <w:numFmt w:val="none"/>
      <w:pStyle w:val="Heading3"/>
      <w:suff w:val="nothing"/>
      <w:lvlText w:val=""/>
      <w:lvlJc w:val="left"/>
      <w:pPr>
        <w:ind w:left="180" w:firstLine="0"/>
      </w:pPr>
    </w:lvl>
    <w:lvl w:ilvl="3">
      <w:start w:val="1"/>
      <w:numFmt w:val="none"/>
      <w:pStyle w:val="Heading4"/>
      <w:suff w:val="nothing"/>
      <w:lvlText w:val=""/>
      <w:lvlJc w:val="left"/>
      <w:pPr>
        <w:ind w:left="180" w:firstLine="0"/>
      </w:pPr>
    </w:lvl>
    <w:lvl w:ilvl="4">
      <w:start w:val="1"/>
      <w:numFmt w:val="none"/>
      <w:pStyle w:val="Heading5"/>
      <w:suff w:val="nothing"/>
      <w:lvlText w:val=""/>
      <w:lvlJc w:val="left"/>
      <w:pPr>
        <w:ind w:left="180" w:firstLine="0"/>
      </w:pPr>
    </w:lvl>
    <w:lvl w:ilvl="5">
      <w:start w:val="1"/>
      <w:numFmt w:val="none"/>
      <w:pStyle w:val="Heading6"/>
      <w:suff w:val="nothing"/>
      <w:lvlText w:val=""/>
      <w:lvlJc w:val="left"/>
      <w:pPr>
        <w:ind w:left="180" w:firstLine="0"/>
      </w:pPr>
    </w:lvl>
    <w:lvl w:ilvl="6">
      <w:start w:val="1"/>
      <w:numFmt w:val="none"/>
      <w:pStyle w:val="Heading7"/>
      <w:suff w:val="nothing"/>
      <w:lvlText w:val=""/>
      <w:lvlJc w:val="left"/>
      <w:pPr>
        <w:ind w:left="180" w:firstLine="0"/>
      </w:pPr>
    </w:lvl>
    <w:lvl w:ilvl="7">
      <w:start w:val="1"/>
      <w:numFmt w:val="none"/>
      <w:pStyle w:val="Heading8"/>
      <w:suff w:val="nothing"/>
      <w:lvlText w:val=""/>
      <w:lvlJc w:val="left"/>
      <w:pPr>
        <w:ind w:left="180" w:firstLine="0"/>
      </w:pPr>
    </w:lvl>
    <w:lvl w:ilvl="8">
      <w:start w:val="1"/>
      <w:numFmt w:val="none"/>
      <w:pStyle w:val="Heading9"/>
      <w:suff w:val="nothing"/>
      <w:lvlText w:val=""/>
      <w:lvlJc w:val="left"/>
      <w:pPr>
        <w:ind w:left="180" w:firstLine="0"/>
      </w:pPr>
    </w:lvl>
  </w:abstractNum>
  <w:abstractNum w:abstractNumId="3">
    <w:nsid w:val="3E615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BF1339"/>
    <w:multiLevelType w:val="hybridMultilevel"/>
    <w:tmpl w:val="46B87BD6"/>
    <w:lvl w:ilvl="0" w:tplc="D8908D3E">
      <w:start w:val="1"/>
      <w:numFmt w:val="bullet"/>
      <w:lvlText w:val=""/>
      <w:lvlJc w:val="left"/>
      <w:pPr>
        <w:ind w:left="2160" w:hanging="360"/>
      </w:pPr>
      <w:rPr>
        <w:rFonts w:ascii="Symbol" w:hAnsi="Symbol" w:hint="default"/>
      </w:rPr>
    </w:lvl>
    <w:lvl w:ilvl="1" w:tplc="304C255C" w:tentative="1">
      <w:start w:val="1"/>
      <w:numFmt w:val="bullet"/>
      <w:lvlText w:val="o"/>
      <w:lvlJc w:val="left"/>
      <w:pPr>
        <w:ind w:left="2880" w:hanging="360"/>
      </w:pPr>
      <w:rPr>
        <w:rFonts w:ascii="Courier New" w:hAnsi="Courier New" w:hint="default"/>
      </w:rPr>
    </w:lvl>
    <w:lvl w:ilvl="2" w:tplc="A03CBCC6" w:tentative="1">
      <w:start w:val="1"/>
      <w:numFmt w:val="bullet"/>
      <w:lvlText w:val=""/>
      <w:lvlJc w:val="left"/>
      <w:pPr>
        <w:ind w:left="3600" w:hanging="360"/>
      </w:pPr>
      <w:rPr>
        <w:rFonts w:ascii="Wingdings" w:hAnsi="Wingdings" w:hint="default"/>
      </w:rPr>
    </w:lvl>
    <w:lvl w:ilvl="3" w:tplc="6F4080FA" w:tentative="1">
      <w:start w:val="1"/>
      <w:numFmt w:val="bullet"/>
      <w:lvlText w:val=""/>
      <w:lvlJc w:val="left"/>
      <w:pPr>
        <w:ind w:left="4320" w:hanging="360"/>
      </w:pPr>
      <w:rPr>
        <w:rFonts w:ascii="Symbol" w:hAnsi="Symbol" w:hint="default"/>
      </w:rPr>
    </w:lvl>
    <w:lvl w:ilvl="4" w:tplc="6C9E54CE" w:tentative="1">
      <w:start w:val="1"/>
      <w:numFmt w:val="bullet"/>
      <w:lvlText w:val="o"/>
      <w:lvlJc w:val="left"/>
      <w:pPr>
        <w:ind w:left="5040" w:hanging="360"/>
      </w:pPr>
      <w:rPr>
        <w:rFonts w:ascii="Courier New" w:hAnsi="Courier New" w:hint="default"/>
      </w:rPr>
    </w:lvl>
    <w:lvl w:ilvl="5" w:tplc="EF26344C" w:tentative="1">
      <w:start w:val="1"/>
      <w:numFmt w:val="bullet"/>
      <w:lvlText w:val=""/>
      <w:lvlJc w:val="left"/>
      <w:pPr>
        <w:ind w:left="5760" w:hanging="360"/>
      </w:pPr>
      <w:rPr>
        <w:rFonts w:ascii="Wingdings" w:hAnsi="Wingdings" w:hint="default"/>
      </w:rPr>
    </w:lvl>
    <w:lvl w:ilvl="6" w:tplc="CC3E0C5E" w:tentative="1">
      <w:start w:val="1"/>
      <w:numFmt w:val="bullet"/>
      <w:lvlText w:val=""/>
      <w:lvlJc w:val="left"/>
      <w:pPr>
        <w:ind w:left="6480" w:hanging="360"/>
      </w:pPr>
      <w:rPr>
        <w:rFonts w:ascii="Symbol" w:hAnsi="Symbol" w:hint="default"/>
      </w:rPr>
    </w:lvl>
    <w:lvl w:ilvl="7" w:tplc="C67C3778" w:tentative="1">
      <w:start w:val="1"/>
      <w:numFmt w:val="bullet"/>
      <w:lvlText w:val="o"/>
      <w:lvlJc w:val="left"/>
      <w:pPr>
        <w:ind w:left="7200" w:hanging="360"/>
      </w:pPr>
      <w:rPr>
        <w:rFonts w:ascii="Courier New" w:hAnsi="Courier New" w:hint="default"/>
      </w:rPr>
    </w:lvl>
    <w:lvl w:ilvl="8" w:tplc="73389D84" w:tentative="1">
      <w:start w:val="1"/>
      <w:numFmt w:val="bullet"/>
      <w:lvlText w:val=""/>
      <w:lvlJc w:val="left"/>
      <w:pPr>
        <w:ind w:left="7920" w:hanging="360"/>
      </w:pPr>
      <w:rPr>
        <w:rFonts w:ascii="Wingdings" w:hAnsi="Wingdings" w:hint="default"/>
      </w:rPr>
    </w:lvl>
  </w:abstractNum>
  <w:abstractNum w:abstractNumId="5">
    <w:nsid w:val="44F4137E"/>
    <w:multiLevelType w:val="hybridMultilevel"/>
    <w:tmpl w:val="218696CA"/>
    <w:lvl w:ilvl="0" w:tplc="8CA4E94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C659F"/>
    <w:multiLevelType w:val="hybridMultilevel"/>
    <w:tmpl w:val="8168E8C2"/>
    <w:lvl w:ilvl="0" w:tplc="183E4EA0">
      <w:start w:val="1"/>
      <w:numFmt w:val="bullet"/>
      <w:lvlText w:val=""/>
      <w:lvlJc w:val="left"/>
      <w:pPr>
        <w:ind w:left="720" w:hanging="360"/>
      </w:pPr>
      <w:rPr>
        <w:rFonts w:ascii="Symbol" w:hAnsi="Symbol" w:hint="default"/>
      </w:rPr>
    </w:lvl>
    <w:lvl w:ilvl="1" w:tplc="B2644358">
      <w:start w:val="1"/>
      <w:numFmt w:val="bullet"/>
      <w:lvlText w:val="o"/>
      <w:lvlJc w:val="left"/>
      <w:pPr>
        <w:ind w:left="1440" w:hanging="360"/>
      </w:pPr>
      <w:rPr>
        <w:rFonts w:ascii="Courier New" w:hAnsi="Courier New" w:hint="default"/>
      </w:rPr>
    </w:lvl>
    <w:lvl w:ilvl="2" w:tplc="E322197A" w:tentative="1">
      <w:start w:val="1"/>
      <w:numFmt w:val="bullet"/>
      <w:lvlText w:val=""/>
      <w:lvlJc w:val="left"/>
      <w:pPr>
        <w:ind w:left="2160" w:hanging="360"/>
      </w:pPr>
      <w:rPr>
        <w:rFonts w:ascii="Wingdings" w:hAnsi="Wingdings" w:hint="default"/>
      </w:rPr>
    </w:lvl>
    <w:lvl w:ilvl="3" w:tplc="C716198C" w:tentative="1">
      <w:start w:val="1"/>
      <w:numFmt w:val="bullet"/>
      <w:lvlText w:val=""/>
      <w:lvlJc w:val="left"/>
      <w:pPr>
        <w:ind w:left="2880" w:hanging="360"/>
      </w:pPr>
      <w:rPr>
        <w:rFonts w:ascii="Symbol" w:hAnsi="Symbol" w:hint="default"/>
      </w:rPr>
    </w:lvl>
    <w:lvl w:ilvl="4" w:tplc="63923316" w:tentative="1">
      <w:start w:val="1"/>
      <w:numFmt w:val="bullet"/>
      <w:lvlText w:val="o"/>
      <w:lvlJc w:val="left"/>
      <w:pPr>
        <w:ind w:left="3600" w:hanging="360"/>
      </w:pPr>
      <w:rPr>
        <w:rFonts w:ascii="Courier New" w:hAnsi="Courier New" w:hint="default"/>
      </w:rPr>
    </w:lvl>
    <w:lvl w:ilvl="5" w:tplc="302EA7B6" w:tentative="1">
      <w:start w:val="1"/>
      <w:numFmt w:val="bullet"/>
      <w:lvlText w:val=""/>
      <w:lvlJc w:val="left"/>
      <w:pPr>
        <w:ind w:left="4320" w:hanging="360"/>
      </w:pPr>
      <w:rPr>
        <w:rFonts w:ascii="Wingdings" w:hAnsi="Wingdings" w:hint="default"/>
      </w:rPr>
    </w:lvl>
    <w:lvl w:ilvl="6" w:tplc="65366916" w:tentative="1">
      <w:start w:val="1"/>
      <w:numFmt w:val="bullet"/>
      <w:lvlText w:val=""/>
      <w:lvlJc w:val="left"/>
      <w:pPr>
        <w:ind w:left="5040" w:hanging="360"/>
      </w:pPr>
      <w:rPr>
        <w:rFonts w:ascii="Symbol" w:hAnsi="Symbol" w:hint="default"/>
      </w:rPr>
    </w:lvl>
    <w:lvl w:ilvl="7" w:tplc="02F00D4E" w:tentative="1">
      <w:start w:val="1"/>
      <w:numFmt w:val="bullet"/>
      <w:lvlText w:val="o"/>
      <w:lvlJc w:val="left"/>
      <w:pPr>
        <w:ind w:left="5760" w:hanging="360"/>
      </w:pPr>
      <w:rPr>
        <w:rFonts w:ascii="Courier New" w:hAnsi="Courier New" w:hint="default"/>
      </w:rPr>
    </w:lvl>
    <w:lvl w:ilvl="8" w:tplc="C2780C18" w:tentative="1">
      <w:start w:val="1"/>
      <w:numFmt w:val="bullet"/>
      <w:lvlText w:val=""/>
      <w:lvlJc w:val="left"/>
      <w:pPr>
        <w:ind w:left="6480" w:hanging="360"/>
      </w:pPr>
      <w:rPr>
        <w:rFonts w:ascii="Wingdings" w:hAnsi="Wingdings" w:hint="default"/>
      </w:rPr>
    </w:lvl>
  </w:abstractNum>
  <w:abstractNum w:abstractNumId="7">
    <w:nsid w:val="6B835B2E"/>
    <w:multiLevelType w:val="hybridMultilevel"/>
    <w:tmpl w:val="8C20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2D779D"/>
    <w:multiLevelType w:val="hybridMultilevel"/>
    <w:tmpl w:val="2A2A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67CBD"/>
    <w:multiLevelType w:val="hybridMultilevel"/>
    <w:tmpl w:val="047A2F84"/>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74A06366"/>
    <w:multiLevelType w:val="hybridMultilevel"/>
    <w:tmpl w:val="E5E4DE4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4"/>
  </w:num>
  <w:num w:numId="6">
    <w:abstractNumId w:val="10"/>
  </w:num>
  <w:num w:numId="7">
    <w:abstractNumId w:val="9"/>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46EC6"/>
    <w:rsid w:val="00000224"/>
    <w:rsid w:val="00000A58"/>
    <w:rsid w:val="00001EEF"/>
    <w:rsid w:val="0000266E"/>
    <w:rsid w:val="00003466"/>
    <w:rsid w:val="0000383C"/>
    <w:rsid w:val="00003CF9"/>
    <w:rsid w:val="0000404D"/>
    <w:rsid w:val="0000434B"/>
    <w:rsid w:val="00006630"/>
    <w:rsid w:val="000079BC"/>
    <w:rsid w:val="00011D4B"/>
    <w:rsid w:val="00014987"/>
    <w:rsid w:val="0001535D"/>
    <w:rsid w:val="0001590A"/>
    <w:rsid w:val="000164A1"/>
    <w:rsid w:val="000204C8"/>
    <w:rsid w:val="00021B47"/>
    <w:rsid w:val="00022830"/>
    <w:rsid w:val="00022A6A"/>
    <w:rsid w:val="00023E45"/>
    <w:rsid w:val="00024997"/>
    <w:rsid w:val="00024B1B"/>
    <w:rsid w:val="00026444"/>
    <w:rsid w:val="000274AD"/>
    <w:rsid w:val="00027B5C"/>
    <w:rsid w:val="00033797"/>
    <w:rsid w:val="00033AE0"/>
    <w:rsid w:val="00034A26"/>
    <w:rsid w:val="00035123"/>
    <w:rsid w:val="00035F19"/>
    <w:rsid w:val="0003613A"/>
    <w:rsid w:val="00040212"/>
    <w:rsid w:val="00040652"/>
    <w:rsid w:val="00042D21"/>
    <w:rsid w:val="000437D3"/>
    <w:rsid w:val="00044C4A"/>
    <w:rsid w:val="00044EFF"/>
    <w:rsid w:val="0004658F"/>
    <w:rsid w:val="00046B13"/>
    <w:rsid w:val="000478CB"/>
    <w:rsid w:val="00050ED2"/>
    <w:rsid w:val="0005231E"/>
    <w:rsid w:val="00052779"/>
    <w:rsid w:val="00057776"/>
    <w:rsid w:val="00057A39"/>
    <w:rsid w:val="000615E0"/>
    <w:rsid w:val="0006228F"/>
    <w:rsid w:val="0006317A"/>
    <w:rsid w:val="00066427"/>
    <w:rsid w:val="00067527"/>
    <w:rsid w:val="00067E22"/>
    <w:rsid w:val="00072909"/>
    <w:rsid w:val="00072A1E"/>
    <w:rsid w:val="0007320E"/>
    <w:rsid w:val="00074E04"/>
    <w:rsid w:val="00074E28"/>
    <w:rsid w:val="00077FA5"/>
    <w:rsid w:val="00083EC0"/>
    <w:rsid w:val="00084E64"/>
    <w:rsid w:val="00086251"/>
    <w:rsid w:val="0008638A"/>
    <w:rsid w:val="00090752"/>
    <w:rsid w:val="0009195C"/>
    <w:rsid w:val="000922E7"/>
    <w:rsid w:val="0009280D"/>
    <w:rsid w:val="0009314D"/>
    <w:rsid w:val="0009604D"/>
    <w:rsid w:val="0009609A"/>
    <w:rsid w:val="000976F3"/>
    <w:rsid w:val="000A04C3"/>
    <w:rsid w:val="000A2FDD"/>
    <w:rsid w:val="000A4410"/>
    <w:rsid w:val="000A5C24"/>
    <w:rsid w:val="000A7BED"/>
    <w:rsid w:val="000B0DB4"/>
    <w:rsid w:val="000B1C35"/>
    <w:rsid w:val="000B26DB"/>
    <w:rsid w:val="000B57E8"/>
    <w:rsid w:val="000B5FD0"/>
    <w:rsid w:val="000B7759"/>
    <w:rsid w:val="000C05FC"/>
    <w:rsid w:val="000C1CFB"/>
    <w:rsid w:val="000C2F42"/>
    <w:rsid w:val="000C3554"/>
    <w:rsid w:val="000C3C5E"/>
    <w:rsid w:val="000D05C1"/>
    <w:rsid w:val="000D0B35"/>
    <w:rsid w:val="000D4C6E"/>
    <w:rsid w:val="000D5255"/>
    <w:rsid w:val="000D5AE8"/>
    <w:rsid w:val="000D65C4"/>
    <w:rsid w:val="000D7603"/>
    <w:rsid w:val="000E1AEE"/>
    <w:rsid w:val="000E1F96"/>
    <w:rsid w:val="000E2563"/>
    <w:rsid w:val="000E365B"/>
    <w:rsid w:val="000E544E"/>
    <w:rsid w:val="000E5F8C"/>
    <w:rsid w:val="000E6759"/>
    <w:rsid w:val="000F0C10"/>
    <w:rsid w:val="000F1E74"/>
    <w:rsid w:val="000F3EB0"/>
    <w:rsid w:val="000F7750"/>
    <w:rsid w:val="000F7E6D"/>
    <w:rsid w:val="001001D9"/>
    <w:rsid w:val="00100D81"/>
    <w:rsid w:val="00104C7B"/>
    <w:rsid w:val="00105075"/>
    <w:rsid w:val="0010514B"/>
    <w:rsid w:val="001113AD"/>
    <w:rsid w:val="00112457"/>
    <w:rsid w:val="00112953"/>
    <w:rsid w:val="00113489"/>
    <w:rsid w:val="0011384B"/>
    <w:rsid w:val="00114727"/>
    <w:rsid w:val="00114BA7"/>
    <w:rsid w:val="00114F1F"/>
    <w:rsid w:val="00115AD8"/>
    <w:rsid w:val="00116E63"/>
    <w:rsid w:val="001175F0"/>
    <w:rsid w:val="00117717"/>
    <w:rsid w:val="00120C7F"/>
    <w:rsid w:val="001215E5"/>
    <w:rsid w:val="001219ED"/>
    <w:rsid w:val="00121B4B"/>
    <w:rsid w:val="0012344B"/>
    <w:rsid w:val="0012510E"/>
    <w:rsid w:val="00125326"/>
    <w:rsid w:val="001253CD"/>
    <w:rsid w:val="00125ECD"/>
    <w:rsid w:val="00126338"/>
    <w:rsid w:val="00126ABC"/>
    <w:rsid w:val="001313F2"/>
    <w:rsid w:val="001351EF"/>
    <w:rsid w:val="00135208"/>
    <w:rsid w:val="001372BF"/>
    <w:rsid w:val="00137940"/>
    <w:rsid w:val="00137EAE"/>
    <w:rsid w:val="00140C76"/>
    <w:rsid w:val="001412A7"/>
    <w:rsid w:val="00141732"/>
    <w:rsid w:val="00142A4B"/>
    <w:rsid w:val="001439BE"/>
    <w:rsid w:val="00143FA0"/>
    <w:rsid w:val="00144121"/>
    <w:rsid w:val="00145275"/>
    <w:rsid w:val="00151AEB"/>
    <w:rsid w:val="00153B2D"/>
    <w:rsid w:val="0015436F"/>
    <w:rsid w:val="00156095"/>
    <w:rsid w:val="00160148"/>
    <w:rsid w:val="00160E9E"/>
    <w:rsid w:val="001642CF"/>
    <w:rsid w:val="0016530E"/>
    <w:rsid w:val="00165624"/>
    <w:rsid w:val="00170A74"/>
    <w:rsid w:val="00170D7A"/>
    <w:rsid w:val="00171749"/>
    <w:rsid w:val="001717CF"/>
    <w:rsid w:val="001804B7"/>
    <w:rsid w:val="001807D3"/>
    <w:rsid w:val="00180E2B"/>
    <w:rsid w:val="00181715"/>
    <w:rsid w:val="0018260A"/>
    <w:rsid w:val="001835BE"/>
    <w:rsid w:val="00183B9F"/>
    <w:rsid w:val="00185997"/>
    <w:rsid w:val="001907B9"/>
    <w:rsid w:val="00192359"/>
    <w:rsid w:val="00192E08"/>
    <w:rsid w:val="001930CC"/>
    <w:rsid w:val="00193983"/>
    <w:rsid w:val="0019404E"/>
    <w:rsid w:val="00194E3E"/>
    <w:rsid w:val="00195188"/>
    <w:rsid w:val="001964FC"/>
    <w:rsid w:val="001A03C5"/>
    <w:rsid w:val="001A0532"/>
    <w:rsid w:val="001A0A83"/>
    <w:rsid w:val="001A0D8B"/>
    <w:rsid w:val="001A2882"/>
    <w:rsid w:val="001A49B1"/>
    <w:rsid w:val="001A59D8"/>
    <w:rsid w:val="001A68C1"/>
    <w:rsid w:val="001A7205"/>
    <w:rsid w:val="001A7EF9"/>
    <w:rsid w:val="001B1FF7"/>
    <w:rsid w:val="001B2FA3"/>
    <w:rsid w:val="001B3B3F"/>
    <w:rsid w:val="001B3D7F"/>
    <w:rsid w:val="001B4D85"/>
    <w:rsid w:val="001B4FA4"/>
    <w:rsid w:val="001B5EEF"/>
    <w:rsid w:val="001B7874"/>
    <w:rsid w:val="001C4554"/>
    <w:rsid w:val="001C72E5"/>
    <w:rsid w:val="001C7317"/>
    <w:rsid w:val="001D0F12"/>
    <w:rsid w:val="001D1BA6"/>
    <w:rsid w:val="001D3818"/>
    <w:rsid w:val="001D3FBC"/>
    <w:rsid w:val="001D42D7"/>
    <w:rsid w:val="001D5AD6"/>
    <w:rsid w:val="001D6B25"/>
    <w:rsid w:val="001D7CE5"/>
    <w:rsid w:val="001D7DD4"/>
    <w:rsid w:val="001E5F5A"/>
    <w:rsid w:val="001E6662"/>
    <w:rsid w:val="001E75BE"/>
    <w:rsid w:val="001E7969"/>
    <w:rsid w:val="001F3B7B"/>
    <w:rsid w:val="001F42DA"/>
    <w:rsid w:val="001F4CAD"/>
    <w:rsid w:val="001F4EE3"/>
    <w:rsid w:val="001F5068"/>
    <w:rsid w:val="001F550C"/>
    <w:rsid w:val="001F6423"/>
    <w:rsid w:val="001F7230"/>
    <w:rsid w:val="001F7F7B"/>
    <w:rsid w:val="0020044D"/>
    <w:rsid w:val="00203FAC"/>
    <w:rsid w:val="00207E3D"/>
    <w:rsid w:val="002107EC"/>
    <w:rsid w:val="00210C86"/>
    <w:rsid w:val="00210F50"/>
    <w:rsid w:val="00214CC3"/>
    <w:rsid w:val="00214FFB"/>
    <w:rsid w:val="002160FF"/>
    <w:rsid w:val="0021663D"/>
    <w:rsid w:val="00217591"/>
    <w:rsid w:val="00222511"/>
    <w:rsid w:val="00224154"/>
    <w:rsid w:val="00224332"/>
    <w:rsid w:val="00225A1B"/>
    <w:rsid w:val="00227A34"/>
    <w:rsid w:val="00227CBE"/>
    <w:rsid w:val="0023078E"/>
    <w:rsid w:val="00232D37"/>
    <w:rsid w:val="00234E83"/>
    <w:rsid w:val="00235B79"/>
    <w:rsid w:val="00236640"/>
    <w:rsid w:val="0023689F"/>
    <w:rsid w:val="0024132C"/>
    <w:rsid w:val="00241D88"/>
    <w:rsid w:val="0024710F"/>
    <w:rsid w:val="00251B54"/>
    <w:rsid w:val="00251DB3"/>
    <w:rsid w:val="00253801"/>
    <w:rsid w:val="00254DA6"/>
    <w:rsid w:val="0025657F"/>
    <w:rsid w:val="002573D4"/>
    <w:rsid w:val="002603EB"/>
    <w:rsid w:val="002606A1"/>
    <w:rsid w:val="00260CA3"/>
    <w:rsid w:val="00261898"/>
    <w:rsid w:val="00263485"/>
    <w:rsid w:val="002635CA"/>
    <w:rsid w:val="00266658"/>
    <w:rsid w:val="00271F82"/>
    <w:rsid w:val="00272CE1"/>
    <w:rsid w:val="00273C99"/>
    <w:rsid w:val="0027423C"/>
    <w:rsid w:val="0027567B"/>
    <w:rsid w:val="002763C9"/>
    <w:rsid w:val="002800F2"/>
    <w:rsid w:val="00280409"/>
    <w:rsid w:val="00281794"/>
    <w:rsid w:val="002827A1"/>
    <w:rsid w:val="00282BE8"/>
    <w:rsid w:val="00283166"/>
    <w:rsid w:val="00284D85"/>
    <w:rsid w:val="002852BC"/>
    <w:rsid w:val="00285A7A"/>
    <w:rsid w:val="00291BB2"/>
    <w:rsid w:val="0029260F"/>
    <w:rsid w:val="00292611"/>
    <w:rsid w:val="00292F07"/>
    <w:rsid w:val="00293923"/>
    <w:rsid w:val="00293C1A"/>
    <w:rsid w:val="002957F9"/>
    <w:rsid w:val="002974A7"/>
    <w:rsid w:val="002A071E"/>
    <w:rsid w:val="002A0C02"/>
    <w:rsid w:val="002A25BE"/>
    <w:rsid w:val="002A6889"/>
    <w:rsid w:val="002A7B28"/>
    <w:rsid w:val="002A7E36"/>
    <w:rsid w:val="002B4D9A"/>
    <w:rsid w:val="002B5673"/>
    <w:rsid w:val="002B645A"/>
    <w:rsid w:val="002B7E35"/>
    <w:rsid w:val="002C1C63"/>
    <w:rsid w:val="002C2B57"/>
    <w:rsid w:val="002D200F"/>
    <w:rsid w:val="002D21A4"/>
    <w:rsid w:val="002D5148"/>
    <w:rsid w:val="002D6EDC"/>
    <w:rsid w:val="002E0D57"/>
    <w:rsid w:val="002E5088"/>
    <w:rsid w:val="002E7B57"/>
    <w:rsid w:val="002F0BE6"/>
    <w:rsid w:val="002F14A0"/>
    <w:rsid w:val="002F16BE"/>
    <w:rsid w:val="002F191E"/>
    <w:rsid w:val="002F3C0C"/>
    <w:rsid w:val="002F403A"/>
    <w:rsid w:val="002F5D8F"/>
    <w:rsid w:val="002F77F2"/>
    <w:rsid w:val="002F7A04"/>
    <w:rsid w:val="00300C19"/>
    <w:rsid w:val="00302585"/>
    <w:rsid w:val="00303FB4"/>
    <w:rsid w:val="00305CEA"/>
    <w:rsid w:val="003061DB"/>
    <w:rsid w:val="00306478"/>
    <w:rsid w:val="00306969"/>
    <w:rsid w:val="00307883"/>
    <w:rsid w:val="003127BF"/>
    <w:rsid w:val="00312A87"/>
    <w:rsid w:val="00314645"/>
    <w:rsid w:val="00315FC2"/>
    <w:rsid w:val="00316E66"/>
    <w:rsid w:val="00317138"/>
    <w:rsid w:val="00317B4B"/>
    <w:rsid w:val="0032195E"/>
    <w:rsid w:val="0032317B"/>
    <w:rsid w:val="00324900"/>
    <w:rsid w:val="00327B75"/>
    <w:rsid w:val="00332691"/>
    <w:rsid w:val="00332BB9"/>
    <w:rsid w:val="003346BE"/>
    <w:rsid w:val="0033490C"/>
    <w:rsid w:val="003407A0"/>
    <w:rsid w:val="00341E78"/>
    <w:rsid w:val="0034384E"/>
    <w:rsid w:val="00343AD2"/>
    <w:rsid w:val="0035047A"/>
    <w:rsid w:val="00350E35"/>
    <w:rsid w:val="00353006"/>
    <w:rsid w:val="003557E2"/>
    <w:rsid w:val="0035652C"/>
    <w:rsid w:val="003567DD"/>
    <w:rsid w:val="00361265"/>
    <w:rsid w:val="003621AA"/>
    <w:rsid w:val="00362255"/>
    <w:rsid w:val="003625E8"/>
    <w:rsid w:val="00362ADF"/>
    <w:rsid w:val="0036322B"/>
    <w:rsid w:val="00364176"/>
    <w:rsid w:val="0036431A"/>
    <w:rsid w:val="00365ADE"/>
    <w:rsid w:val="00365AFA"/>
    <w:rsid w:val="003668E9"/>
    <w:rsid w:val="00366969"/>
    <w:rsid w:val="00366D15"/>
    <w:rsid w:val="003670F1"/>
    <w:rsid w:val="003674AB"/>
    <w:rsid w:val="003675DE"/>
    <w:rsid w:val="00367D6F"/>
    <w:rsid w:val="0037166E"/>
    <w:rsid w:val="00372E7C"/>
    <w:rsid w:val="003733D8"/>
    <w:rsid w:val="003733DE"/>
    <w:rsid w:val="003747AC"/>
    <w:rsid w:val="003759FE"/>
    <w:rsid w:val="00376004"/>
    <w:rsid w:val="00380156"/>
    <w:rsid w:val="00380416"/>
    <w:rsid w:val="003805CB"/>
    <w:rsid w:val="00385159"/>
    <w:rsid w:val="00390919"/>
    <w:rsid w:val="003914F0"/>
    <w:rsid w:val="00391B4D"/>
    <w:rsid w:val="0039264A"/>
    <w:rsid w:val="003938C9"/>
    <w:rsid w:val="00394644"/>
    <w:rsid w:val="003974E9"/>
    <w:rsid w:val="003A09B2"/>
    <w:rsid w:val="003A37F9"/>
    <w:rsid w:val="003A4354"/>
    <w:rsid w:val="003A650B"/>
    <w:rsid w:val="003A783F"/>
    <w:rsid w:val="003B1FF4"/>
    <w:rsid w:val="003B511E"/>
    <w:rsid w:val="003B529B"/>
    <w:rsid w:val="003B5BBB"/>
    <w:rsid w:val="003B6A2D"/>
    <w:rsid w:val="003C1667"/>
    <w:rsid w:val="003C1809"/>
    <w:rsid w:val="003C3024"/>
    <w:rsid w:val="003C6578"/>
    <w:rsid w:val="003C6C41"/>
    <w:rsid w:val="003D20FE"/>
    <w:rsid w:val="003D345B"/>
    <w:rsid w:val="003D4BC5"/>
    <w:rsid w:val="003D4C2E"/>
    <w:rsid w:val="003D7396"/>
    <w:rsid w:val="003E172B"/>
    <w:rsid w:val="003E1B03"/>
    <w:rsid w:val="003E3EA9"/>
    <w:rsid w:val="003E5223"/>
    <w:rsid w:val="003E5E17"/>
    <w:rsid w:val="003E606B"/>
    <w:rsid w:val="003E6A87"/>
    <w:rsid w:val="003E6D24"/>
    <w:rsid w:val="003E731D"/>
    <w:rsid w:val="003E750C"/>
    <w:rsid w:val="003F0A82"/>
    <w:rsid w:val="003F0D07"/>
    <w:rsid w:val="003F15BE"/>
    <w:rsid w:val="003F1EA2"/>
    <w:rsid w:val="003F33BB"/>
    <w:rsid w:val="003F3EAE"/>
    <w:rsid w:val="003F4003"/>
    <w:rsid w:val="003F5065"/>
    <w:rsid w:val="003F51EE"/>
    <w:rsid w:val="00400736"/>
    <w:rsid w:val="00400DF0"/>
    <w:rsid w:val="00400E33"/>
    <w:rsid w:val="0040229D"/>
    <w:rsid w:val="00404DB3"/>
    <w:rsid w:val="00404E08"/>
    <w:rsid w:val="004059EB"/>
    <w:rsid w:val="00411037"/>
    <w:rsid w:val="0041109C"/>
    <w:rsid w:val="00411449"/>
    <w:rsid w:val="00411696"/>
    <w:rsid w:val="004116A9"/>
    <w:rsid w:val="00412A59"/>
    <w:rsid w:val="00414798"/>
    <w:rsid w:val="0041560C"/>
    <w:rsid w:val="00415AEC"/>
    <w:rsid w:val="00416056"/>
    <w:rsid w:val="00416ADF"/>
    <w:rsid w:val="004173AD"/>
    <w:rsid w:val="004205CA"/>
    <w:rsid w:val="00420FE4"/>
    <w:rsid w:val="0042186A"/>
    <w:rsid w:val="00422209"/>
    <w:rsid w:val="004229CE"/>
    <w:rsid w:val="00422F8E"/>
    <w:rsid w:val="00424502"/>
    <w:rsid w:val="00425B77"/>
    <w:rsid w:val="00426D16"/>
    <w:rsid w:val="00427F96"/>
    <w:rsid w:val="00432D27"/>
    <w:rsid w:val="00440200"/>
    <w:rsid w:val="004436C7"/>
    <w:rsid w:val="00443848"/>
    <w:rsid w:val="004448D1"/>
    <w:rsid w:val="004449C3"/>
    <w:rsid w:val="004458F8"/>
    <w:rsid w:val="0044598B"/>
    <w:rsid w:val="00445CF4"/>
    <w:rsid w:val="00450485"/>
    <w:rsid w:val="00450847"/>
    <w:rsid w:val="00451E3D"/>
    <w:rsid w:val="00452D2A"/>
    <w:rsid w:val="00453C08"/>
    <w:rsid w:val="00453C21"/>
    <w:rsid w:val="00455ACB"/>
    <w:rsid w:val="00457A79"/>
    <w:rsid w:val="0046129F"/>
    <w:rsid w:val="00461FF5"/>
    <w:rsid w:val="00462495"/>
    <w:rsid w:val="004661A8"/>
    <w:rsid w:val="00466E2B"/>
    <w:rsid w:val="004716B0"/>
    <w:rsid w:val="00472DC9"/>
    <w:rsid w:val="004734D2"/>
    <w:rsid w:val="00474F7E"/>
    <w:rsid w:val="00475615"/>
    <w:rsid w:val="0047688A"/>
    <w:rsid w:val="004777DE"/>
    <w:rsid w:val="00477C04"/>
    <w:rsid w:val="00480FAB"/>
    <w:rsid w:val="004816F3"/>
    <w:rsid w:val="004820B4"/>
    <w:rsid w:val="004828E2"/>
    <w:rsid w:val="004842B1"/>
    <w:rsid w:val="0048536A"/>
    <w:rsid w:val="00486F3D"/>
    <w:rsid w:val="004875A9"/>
    <w:rsid w:val="00490406"/>
    <w:rsid w:val="00493C24"/>
    <w:rsid w:val="00494951"/>
    <w:rsid w:val="00494B7A"/>
    <w:rsid w:val="00495017"/>
    <w:rsid w:val="00497B37"/>
    <w:rsid w:val="004A104E"/>
    <w:rsid w:val="004A166A"/>
    <w:rsid w:val="004A39A1"/>
    <w:rsid w:val="004A6096"/>
    <w:rsid w:val="004A6628"/>
    <w:rsid w:val="004A7BE0"/>
    <w:rsid w:val="004A7C6D"/>
    <w:rsid w:val="004B1814"/>
    <w:rsid w:val="004B326D"/>
    <w:rsid w:val="004B491A"/>
    <w:rsid w:val="004B5632"/>
    <w:rsid w:val="004B5878"/>
    <w:rsid w:val="004C0A37"/>
    <w:rsid w:val="004C1D62"/>
    <w:rsid w:val="004C3042"/>
    <w:rsid w:val="004C391E"/>
    <w:rsid w:val="004C4F04"/>
    <w:rsid w:val="004C59B1"/>
    <w:rsid w:val="004C61A8"/>
    <w:rsid w:val="004C751B"/>
    <w:rsid w:val="004D1EE4"/>
    <w:rsid w:val="004D2777"/>
    <w:rsid w:val="004D42DA"/>
    <w:rsid w:val="004D462C"/>
    <w:rsid w:val="004D4694"/>
    <w:rsid w:val="004D592C"/>
    <w:rsid w:val="004D7597"/>
    <w:rsid w:val="004D79A6"/>
    <w:rsid w:val="004E1AA2"/>
    <w:rsid w:val="004E1D92"/>
    <w:rsid w:val="004E27D5"/>
    <w:rsid w:val="004E34C8"/>
    <w:rsid w:val="004E3DC9"/>
    <w:rsid w:val="004E4748"/>
    <w:rsid w:val="004E50E5"/>
    <w:rsid w:val="004E5C1F"/>
    <w:rsid w:val="004E5F67"/>
    <w:rsid w:val="004F297F"/>
    <w:rsid w:val="004F3D18"/>
    <w:rsid w:val="004F66B0"/>
    <w:rsid w:val="0050110A"/>
    <w:rsid w:val="00502AB7"/>
    <w:rsid w:val="00504AC5"/>
    <w:rsid w:val="00505F02"/>
    <w:rsid w:val="005063EC"/>
    <w:rsid w:val="005148EF"/>
    <w:rsid w:val="00514D1F"/>
    <w:rsid w:val="005151B6"/>
    <w:rsid w:val="005152E4"/>
    <w:rsid w:val="00516FFF"/>
    <w:rsid w:val="005220BC"/>
    <w:rsid w:val="00522511"/>
    <w:rsid w:val="0052558E"/>
    <w:rsid w:val="00525868"/>
    <w:rsid w:val="00525F14"/>
    <w:rsid w:val="0052735A"/>
    <w:rsid w:val="005279BF"/>
    <w:rsid w:val="00533537"/>
    <w:rsid w:val="00533F95"/>
    <w:rsid w:val="00534A10"/>
    <w:rsid w:val="00534CAC"/>
    <w:rsid w:val="0053601F"/>
    <w:rsid w:val="00536359"/>
    <w:rsid w:val="00536DF7"/>
    <w:rsid w:val="00537E9D"/>
    <w:rsid w:val="005402D1"/>
    <w:rsid w:val="00540C2F"/>
    <w:rsid w:val="00542378"/>
    <w:rsid w:val="0054281E"/>
    <w:rsid w:val="00542D37"/>
    <w:rsid w:val="00542DF0"/>
    <w:rsid w:val="005445C9"/>
    <w:rsid w:val="0054688C"/>
    <w:rsid w:val="00550468"/>
    <w:rsid w:val="00551C72"/>
    <w:rsid w:val="00551F57"/>
    <w:rsid w:val="005522CE"/>
    <w:rsid w:val="00553B60"/>
    <w:rsid w:val="0055459B"/>
    <w:rsid w:val="0055583E"/>
    <w:rsid w:val="005579C7"/>
    <w:rsid w:val="00557DB9"/>
    <w:rsid w:val="0056007E"/>
    <w:rsid w:val="0056085B"/>
    <w:rsid w:val="00560C28"/>
    <w:rsid w:val="00560F8F"/>
    <w:rsid w:val="005644EE"/>
    <w:rsid w:val="00564853"/>
    <w:rsid w:val="00565D8B"/>
    <w:rsid w:val="00565EFA"/>
    <w:rsid w:val="00570B96"/>
    <w:rsid w:val="00571473"/>
    <w:rsid w:val="00571A62"/>
    <w:rsid w:val="00574354"/>
    <w:rsid w:val="005746B6"/>
    <w:rsid w:val="00575DC3"/>
    <w:rsid w:val="0057613A"/>
    <w:rsid w:val="00581BA6"/>
    <w:rsid w:val="00583EB9"/>
    <w:rsid w:val="00585CE4"/>
    <w:rsid w:val="00590EE9"/>
    <w:rsid w:val="005914E1"/>
    <w:rsid w:val="00593BAC"/>
    <w:rsid w:val="00593CE7"/>
    <w:rsid w:val="00596207"/>
    <w:rsid w:val="005A00BB"/>
    <w:rsid w:val="005A4A18"/>
    <w:rsid w:val="005A56F0"/>
    <w:rsid w:val="005A5E42"/>
    <w:rsid w:val="005B096F"/>
    <w:rsid w:val="005B1C44"/>
    <w:rsid w:val="005B211A"/>
    <w:rsid w:val="005B2F2F"/>
    <w:rsid w:val="005B64FE"/>
    <w:rsid w:val="005B66B8"/>
    <w:rsid w:val="005B6AC5"/>
    <w:rsid w:val="005B6DBE"/>
    <w:rsid w:val="005B7B78"/>
    <w:rsid w:val="005C021A"/>
    <w:rsid w:val="005C6813"/>
    <w:rsid w:val="005C6BD5"/>
    <w:rsid w:val="005C7731"/>
    <w:rsid w:val="005D5C2B"/>
    <w:rsid w:val="005D62B3"/>
    <w:rsid w:val="005E0225"/>
    <w:rsid w:val="005E0318"/>
    <w:rsid w:val="005E10C5"/>
    <w:rsid w:val="005E23AD"/>
    <w:rsid w:val="005E2665"/>
    <w:rsid w:val="005E53C5"/>
    <w:rsid w:val="005E5676"/>
    <w:rsid w:val="005E7552"/>
    <w:rsid w:val="005E7616"/>
    <w:rsid w:val="005F0B11"/>
    <w:rsid w:val="005F1247"/>
    <w:rsid w:val="005F128B"/>
    <w:rsid w:val="005F1560"/>
    <w:rsid w:val="005F184F"/>
    <w:rsid w:val="005F1EAA"/>
    <w:rsid w:val="005F2415"/>
    <w:rsid w:val="005F2A19"/>
    <w:rsid w:val="005F4341"/>
    <w:rsid w:val="005F6661"/>
    <w:rsid w:val="00600061"/>
    <w:rsid w:val="006027C5"/>
    <w:rsid w:val="00603F8B"/>
    <w:rsid w:val="00605CA7"/>
    <w:rsid w:val="00605F2A"/>
    <w:rsid w:val="00606DA0"/>
    <w:rsid w:val="00614BA8"/>
    <w:rsid w:val="00622F48"/>
    <w:rsid w:val="006325CC"/>
    <w:rsid w:val="00632BA4"/>
    <w:rsid w:val="00635E66"/>
    <w:rsid w:val="00640320"/>
    <w:rsid w:val="00640FF3"/>
    <w:rsid w:val="00642F9B"/>
    <w:rsid w:val="0064418A"/>
    <w:rsid w:val="00646EAA"/>
    <w:rsid w:val="006478CA"/>
    <w:rsid w:val="00647D9C"/>
    <w:rsid w:val="00655968"/>
    <w:rsid w:val="006559A7"/>
    <w:rsid w:val="00656FF6"/>
    <w:rsid w:val="006575D3"/>
    <w:rsid w:val="006579B8"/>
    <w:rsid w:val="00660FB0"/>
    <w:rsid w:val="00661A28"/>
    <w:rsid w:val="00661BE1"/>
    <w:rsid w:val="00661DC9"/>
    <w:rsid w:val="0066205D"/>
    <w:rsid w:val="006640EF"/>
    <w:rsid w:val="00664F1F"/>
    <w:rsid w:val="00670619"/>
    <w:rsid w:val="0067128E"/>
    <w:rsid w:val="006727C0"/>
    <w:rsid w:val="006741B2"/>
    <w:rsid w:val="00674B49"/>
    <w:rsid w:val="0067728D"/>
    <w:rsid w:val="006779C5"/>
    <w:rsid w:val="00680CE4"/>
    <w:rsid w:val="006812B0"/>
    <w:rsid w:val="006817E8"/>
    <w:rsid w:val="00683804"/>
    <w:rsid w:val="00685C16"/>
    <w:rsid w:val="00685F33"/>
    <w:rsid w:val="006867AF"/>
    <w:rsid w:val="00690034"/>
    <w:rsid w:val="006924EE"/>
    <w:rsid w:val="0069253A"/>
    <w:rsid w:val="00694F80"/>
    <w:rsid w:val="00694F8C"/>
    <w:rsid w:val="006961D9"/>
    <w:rsid w:val="006973F2"/>
    <w:rsid w:val="006A2EC3"/>
    <w:rsid w:val="006A32DC"/>
    <w:rsid w:val="006A468D"/>
    <w:rsid w:val="006A4EE6"/>
    <w:rsid w:val="006A5AEE"/>
    <w:rsid w:val="006A5BF0"/>
    <w:rsid w:val="006A695E"/>
    <w:rsid w:val="006B1646"/>
    <w:rsid w:val="006B21CE"/>
    <w:rsid w:val="006B220E"/>
    <w:rsid w:val="006B2658"/>
    <w:rsid w:val="006B5BF1"/>
    <w:rsid w:val="006B6B13"/>
    <w:rsid w:val="006B7885"/>
    <w:rsid w:val="006B7B85"/>
    <w:rsid w:val="006C09A3"/>
    <w:rsid w:val="006C15D7"/>
    <w:rsid w:val="006C38DA"/>
    <w:rsid w:val="006C4412"/>
    <w:rsid w:val="006C7EE7"/>
    <w:rsid w:val="006D2AC0"/>
    <w:rsid w:val="006D3396"/>
    <w:rsid w:val="006D59A5"/>
    <w:rsid w:val="006D6433"/>
    <w:rsid w:val="006D6E17"/>
    <w:rsid w:val="006D732D"/>
    <w:rsid w:val="006D787D"/>
    <w:rsid w:val="006D79EE"/>
    <w:rsid w:val="006E1DC6"/>
    <w:rsid w:val="006E2121"/>
    <w:rsid w:val="006E3431"/>
    <w:rsid w:val="006E5C99"/>
    <w:rsid w:val="006E6C37"/>
    <w:rsid w:val="006F1F42"/>
    <w:rsid w:val="006F2DBA"/>
    <w:rsid w:val="006F6054"/>
    <w:rsid w:val="006F7019"/>
    <w:rsid w:val="006F7602"/>
    <w:rsid w:val="00701FD0"/>
    <w:rsid w:val="0070239B"/>
    <w:rsid w:val="0070250C"/>
    <w:rsid w:val="007027A4"/>
    <w:rsid w:val="00703FE4"/>
    <w:rsid w:val="0070430A"/>
    <w:rsid w:val="007057B8"/>
    <w:rsid w:val="00705846"/>
    <w:rsid w:val="00706329"/>
    <w:rsid w:val="00713FA7"/>
    <w:rsid w:val="0071419A"/>
    <w:rsid w:val="00716118"/>
    <w:rsid w:val="00720C35"/>
    <w:rsid w:val="007230CE"/>
    <w:rsid w:val="0072338C"/>
    <w:rsid w:val="0072525D"/>
    <w:rsid w:val="007263C5"/>
    <w:rsid w:val="007263FD"/>
    <w:rsid w:val="00726A8F"/>
    <w:rsid w:val="00730E15"/>
    <w:rsid w:val="00731225"/>
    <w:rsid w:val="00731286"/>
    <w:rsid w:val="00732C65"/>
    <w:rsid w:val="007334C0"/>
    <w:rsid w:val="00736A79"/>
    <w:rsid w:val="00737C63"/>
    <w:rsid w:val="00740626"/>
    <w:rsid w:val="0074080A"/>
    <w:rsid w:val="007410A0"/>
    <w:rsid w:val="00746FA7"/>
    <w:rsid w:val="007510A4"/>
    <w:rsid w:val="007523D9"/>
    <w:rsid w:val="00752468"/>
    <w:rsid w:val="0075399D"/>
    <w:rsid w:val="00757312"/>
    <w:rsid w:val="0075762B"/>
    <w:rsid w:val="00760E44"/>
    <w:rsid w:val="00761CEA"/>
    <w:rsid w:val="00764CFE"/>
    <w:rsid w:val="00765598"/>
    <w:rsid w:val="00766B0C"/>
    <w:rsid w:val="007679A3"/>
    <w:rsid w:val="00770258"/>
    <w:rsid w:val="007706D2"/>
    <w:rsid w:val="007729F3"/>
    <w:rsid w:val="0077511A"/>
    <w:rsid w:val="00781676"/>
    <w:rsid w:val="00783D10"/>
    <w:rsid w:val="007852A2"/>
    <w:rsid w:val="0078581F"/>
    <w:rsid w:val="00791C59"/>
    <w:rsid w:val="00794483"/>
    <w:rsid w:val="007945D0"/>
    <w:rsid w:val="00794C9C"/>
    <w:rsid w:val="00795236"/>
    <w:rsid w:val="0079556B"/>
    <w:rsid w:val="00797DFA"/>
    <w:rsid w:val="007A1E5D"/>
    <w:rsid w:val="007A32BB"/>
    <w:rsid w:val="007A3CE0"/>
    <w:rsid w:val="007A3ECA"/>
    <w:rsid w:val="007A56AB"/>
    <w:rsid w:val="007A6D89"/>
    <w:rsid w:val="007A760C"/>
    <w:rsid w:val="007B291A"/>
    <w:rsid w:val="007B2EE7"/>
    <w:rsid w:val="007B2F11"/>
    <w:rsid w:val="007C0C59"/>
    <w:rsid w:val="007C6501"/>
    <w:rsid w:val="007D276A"/>
    <w:rsid w:val="007D3C68"/>
    <w:rsid w:val="007E07A2"/>
    <w:rsid w:val="007E1DAD"/>
    <w:rsid w:val="007E2076"/>
    <w:rsid w:val="007E4986"/>
    <w:rsid w:val="007E4999"/>
    <w:rsid w:val="007E5355"/>
    <w:rsid w:val="007E65B9"/>
    <w:rsid w:val="007E684F"/>
    <w:rsid w:val="007E7379"/>
    <w:rsid w:val="007F12FA"/>
    <w:rsid w:val="007F25C6"/>
    <w:rsid w:val="007F34B6"/>
    <w:rsid w:val="007F3CA3"/>
    <w:rsid w:val="007F4056"/>
    <w:rsid w:val="007F4C75"/>
    <w:rsid w:val="00801B31"/>
    <w:rsid w:val="00803F90"/>
    <w:rsid w:val="008069F1"/>
    <w:rsid w:val="008078BE"/>
    <w:rsid w:val="00810612"/>
    <w:rsid w:val="00812F3D"/>
    <w:rsid w:val="0081313A"/>
    <w:rsid w:val="008136D3"/>
    <w:rsid w:val="00814CD9"/>
    <w:rsid w:val="008163E7"/>
    <w:rsid w:val="00816EB5"/>
    <w:rsid w:val="0082233F"/>
    <w:rsid w:val="00822C5C"/>
    <w:rsid w:val="00822CB3"/>
    <w:rsid w:val="008232FA"/>
    <w:rsid w:val="00824CDB"/>
    <w:rsid w:val="008250B0"/>
    <w:rsid w:val="00831243"/>
    <w:rsid w:val="008342A1"/>
    <w:rsid w:val="00834CFE"/>
    <w:rsid w:val="00834FAC"/>
    <w:rsid w:val="00835956"/>
    <w:rsid w:val="00835DA6"/>
    <w:rsid w:val="00837BBF"/>
    <w:rsid w:val="00842969"/>
    <w:rsid w:val="00842CF0"/>
    <w:rsid w:val="00842F06"/>
    <w:rsid w:val="00846D32"/>
    <w:rsid w:val="00846DC9"/>
    <w:rsid w:val="00852F11"/>
    <w:rsid w:val="00854E6F"/>
    <w:rsid w:val="00857478"/>
    <w:rsid w:val="008600EE"/>
    <w:rsid w:val="00860250"/>
    <w:rsid w:val="00860736"/>
    <w:rsid w:val="00861494"/>
    <w:rsid w:val="00862A93"/>
    <w:rsid w:val="00867A80"/>
    <w:rsid w:val="0087143D"/>
    <w:rsid w:val="0087219B"/>
    <w:rsid w:val="0087385E"/>
    <w:rsid w:val="0087533E"/>
    <w:rsid w:val="00875E5A"/>
    <w:rsid w:val="008760BE"/>
    <w:rsid w:val="0087636B"/>
    <w:rsid w:val="00880FB7"/>
    <w:rsid w:val="00883307"/>
    <w:rsid w:val="0088365B"/>
    <w:rsid w:val="00883BF6"/>
    <w:rsid w:val="00883ECC"/>
    <w:rsid w:val="00884301"/>
    <w:rsid w:val="00886E92"/>
    <w:rsid w:val="00890DFD"/>
    <w:rsid w:val="00891C41"/>
    <w:rsid w:val="00891CFD"/>
    <w:rsid w:val="00895BA8"/>
    <w:rsid w:val="00896828"/>
    <w:rsid w:val="008A060E"/>
    <w:rsid w:val="008A1BB5"/>
    <w:rsid w:val="008A1D4B"/>
    <w:rsid w:val="008A2819"/>
    <w:rsid w:val="008A3C1C"/>
    <w:rsid w:val="008A3E53"/>
    <w:rsid w:val="008A4BEC"/>
    <w:rsid w:val="008A4F08"/>
    <w:rsid w:val="008A5B8A"/>
    <w:rsid w:val="008B131E"/>
    <w:rsid w:val="008B1D41"/>
    <w:rsid w:val="008B3254"/>
    <w:rsid w:val="008B34ED"/>
    <w:rsid w:val="008B4E25"/>
    <w:rsid w:val="008B7491"/>
    <w:rsid w:val="008B7FB0"/>
    <w:rsid w:val="008C0A11"/>
    <w:rsid w:val="008C52B1"/>
    <w:rsid w:val="008C5D66"/>
    <w:rsid w:val="008C66A1"/>
    <w:rsid w:val="008D01A5"/>
    <w:rsid w:val="008D0759"/>
    <w:rsid w:val="008D56E9"/>
    <w:rsid w:val="008D7FBF"/>
    <w:rsid w:val="008E1615"/>
    <w:rsid w:val="008E5067"/>
    <w:rsid w:val="008E57F7"/>
    <w:rsid w:val="008E5960"/>
    <w:rsid w:val="008E7BD4"/>
    <w:rsid w:val="008F13BA"/>
    <w:rsid w:val="008F19A9"/>
    <w:rsid w:val="008F29A1"/>
    <w:rsid w:val="008F2E03"/>
    <w:rsid w:val="008F2F9C"/>
    <w:rsid w:val="008F439B"/>
    <w:rsid w:val="008F5C97"/>
    <w:rsid w:val="00904AF7"/>
    <w:rsid w:val="00904B9F"/>
    <w:rsid w:val="00904F75"/>
    <w:rsid w:val="00906ABA"/>
    <w:rsid w:val="0091224D"/>
    <w:rsid w:val="009135C3"/>
    <w:rsid w:val="00913770"/>
    <w:rsid w:val="00914386"/>
    <w:rsid w:val="009164C1"/>
    <w:rsid w:val="00917819"/>
    <w:rsid w:val="00920154"/>
    <w:rsid w:val="009203CF"/>
    <w:rsid w:val="009205DC"/>
    <w:rsid w:val="0092160B"/>
    <w:rsid w:val="00921626"/>
    <w:rsid w:val="00922307"/>
    <w:rsid w:val="00922F2B"/>
    <w:rsid w:val="00922F97"/>
    <w:rsid w:val="00923036"/>
    <w:rsid w:val="009237D4"/>
    <w:rsid w:val="00923E6D"/>
    <w:rsid w:val="0092770A"/>
    <w:rsid w:val="00931ED8"/>
    <w:rsid w:val="00933922"/>
    <w:rsid w:val="00933EBB"/>
    <w:rsid w:val="00934FC2"/>
    <w:rsid w:val="009352EB"/>
    <w:rsid w:val="00943615"/>
    <w:rsid w:val="00943BED"/>
    <w:rsid w:val="009448DD"/>
    <w:rsid w:val="00947CE9"/>
    <w:rsid w:val="009500E1"/>
    <w:rsid w:val="009557CA"/>
    <w:rsid w:val="00956402"/>
    <w:rsid w:val="00957012"/>
    <w:rsid w:val="009572D6"/>
    <w:rsid w:val="00957AB2"/>
    <w:rsid w:val="00957E66"/>
    <w:rsid w:val="00960977"/>
    <w:rsid w:val="00960BA2"/>
    <w:rsid w:val="00961206"/>
    <w:rsid w:val="00962BD8"/>
    <w:rsid w:val="00962E76"/>
    <w:rsid w:val="00963896"/>
    <w:rsid w:val="00963B59"/>
    <w:rsid w:val="00965077"/>
    <w:rsid w:val="0096622F"/>
    <w:rsid w:val="00966F4E"/>
    <w:rsid w:val="009715F3"/>
    <w:rsid w:val="00972AEE"/>
    <w:rsid w:val="00973AA1"/>
    <w:rsid w:val="00973CCB"/>
    <w:rsid w:val="009740A0"/>
    <w:rsid w:val="00974FFE"/>
    <w:rsid w:val="009763FD"/>
    <w:rsid w:val="009808F3"/>
    <w:rsid w:val="009826C2"/>
    <w:rsid w:val="00983DFC"/>
    <w:rsid w:val="0098452A"/>
    <w:rsid w:val="00991C20"/>
    <w:rsid w:val="009920AF"/>
    <w:rsid w:val="00993056"/>
    <w:rsid w:val="00993F66"/>
    <w:rsid w:val="009953B1"/>
    <w:rsid w:val="00996328"/>
    <w:rsid w:val="00996A44"/>
    <w:rsid w:val="0099742C"/>
    <w:rsid w:val="009A04F0"/>
    <w:rsid w:val="009A4344"/>
    <w:rsid w:val="009A5B57"/>
    <w:rsid w:val="009A7A31"/>
    <w:rsid w:val="009B22AD"/>
    <w:rsid w:val="009B2A4E"/>
    <w:rsid w:val="009B668A"/>
    <w:rsid w:val="009B71C2"/>
    <w:rsid w:val="009C055F"/>
    <w:rsid w:val="009C19BF"/>
    <w:rsid w:val="009D05ED"/>
    <w:rsid w:val="009D0693"/>
    <w:rsid w:val="009D131D"/>
    <w:rsid w:val="009D2513"/>
    <w:rsid w:val="009D3541"/>
    <w:rsid w:val="009D3AA4"/>
    <w:rsid w:val="009D3ED2"/>
    <w:rsid w:val="009D43B4"/>
    <w:rsid w:val="009D6420"/>
    <w:rsid w:val="009D66E2"/>
    <w:rsid w:val="009D6838"/>
    <w:rsid w:val="009E1029"/>
    <w:rsid w:val="009E185B"/>
    <w:rsid w:val="009E20FA"/>
    <w:rsid w:val="009E317C"/>
    <w:rsid w:val="009E3B18"/>
    <w:rsid w:val="009E44B4"/>
    <w:rsid w:val="009E5779"/>
    <w:rsid w:val="009E798A"/>
    <w:rsid w:val="009F06E2"/>
    <w:rsid w:val="009F1188"/>
    <w:rsid w:val="009F35E9"/>
    <w:rsid w:val="009F366F"/>
    <w:rsid w:val="009F3EAA"/>
    <w:rsid w:val="009F6C9E"/>
    <w:rsid w:val="009F70AE"/>
    <w:rsid w:val="00A002ED"/>
    <w:rsid w:val="00A04BC4"/>
    <w:rsid w:val="00A05E25"/>
    <w:rsid w:val="00A10F40"/>
    <w:rsid w:val="00A14B87"/>
    <w:rsid w:val="00A165F7"/>
    <w:rsid w:val="00A173C3"/>
    <w:rsid w:val="00A1759A"/>
    <w:rsid w:val="00A228CA"/>
    <w:rsid w:val="00A2344E"/>
    <w:rsid w:val="00A24947"/>
    <w:rsid w:val="00A25B15"/>
    <w:rsid w:val="00A26CA7"/>
    <w:rsid w:val="00A2709A"/>
    <w:rsid w:val="00A27503"/>
    <w:rsid w:val="00A3144D"/>
    <w:rsid w:val="00A3612F"/>
    <w:rsid w:val="00A37100"/>
    <w:rsid w:val="00A40336"/>
    <w:rsid w:val="00A4278C"/>
    <w:rsid w:val="00A42A21"/>
    <w:rsid w:val="00A44E41"/>
    <w:rsid w:val="00A455EE"/>
    <w:rsid w:val="00A460D5"/>
    <w:rsid w:val="00A46FFA"/>
    <w:rsid w:val="00A475C3"/>
    <w:rsid w:val="00A4785F"/>
    <w:rsid w:val="00A47DEC"/>
    <w:rsid w:val="00A519D9"/>
    <w:rsid w:val="00A52D5D"/>
    <w:rsid w:val="00A54CC1"/>
    <w:rsid w:val="00A56F5D"/>
    <w:rsid w:val="00A71AC2"/>
    <w:rsid w:val="00A72D32"/>
    <w:rsid w:val="00A73C7E"/>
    <w:rsid w:val="00A75CCF"/>
    <w:rsid w:val="00A760E3"/>
    <w:rsid w:val="00A77115"/>
    <w:rsid w:val="00A77304"/>
    <w:rsid w:val="00A801F7"/>
    <w:rsid w:val="00A807C8"/>
    <w:rsid w:val="00A80BC6"/>
    <w:rsid w:val="00A80C2A"/>
    <w:rsid w:val="00A8185F"/>
    <w:rsid w:val="00A81E87"/>
    <w:rsid w:val="00A84366"/>
    <w:rsid w:val="00A84B6C"/>
    <w:rsid w:val="00A862FA"/>
    <w:rsid w:val="00A92D3B"/>
    <w:rsid w:val="00A93A15"/>
    <w:rsid w:val="00A955CD"/>
    <w:rsid w:val="00A9576F"/>
    <w:rsid w:val="00A96A4F"/>
    <w:rsid w:val="00A97601"/>
    <w:rsid w:val="00A976D6"/>
    <w:rsid w:val="00AA3763"/>
    <w:rsid w:val="00AA3A89"/>
    <w:rsid w:val="00AA3B49"/>
    <w:rsid w:val="00AA5277"/>
    <w:rsid w:val="00AB09A5"/>
    <w:rsid w:val="00AB2B9A"/>
    <w:rsid w:val="00AB3E5A"/>
    <w:rsid w:val="00AB498A"/>
    <w:rsid w:val="00AB4FE1"/>
    <w:rsid w:val="00AB546F"/>
    <w:rsid w:val="00AB5AC2"/>
    <w:rsid w:val="00AB67C6"/>
    <w:rsid w:val="00AB7632"/>
    <w:rsid w:val="00AC0C70"/>
    <w:rsid w:val="00AC3515"/>
    <w:rsid w:val="00AC38BF"/>
    <w:rsid w:val="00AC3C23"/>
    <w:rsid w:val="00AC51F5"/>
    <w:rsid w:val="00AC576A"/>
    <w:rsid w:val="00AD0018"/>
    <w:rsid w:val="00AD0A66"/>
    <w:rsid w:val="00AD175B"/>
    <w:rsid w:val="00AD3450"/>
    <w:rsid w:val="00AD445F"/>
    <w:rsid w:val="00AD4FBD"/>
    <w:rsid w:val="00AD5506"/>
    <w:rsid w:val="00AD6079"/>
    <w:rsid w:val="00AD7123"/>
    <w:rsid w:val="00AE0AE6"/>
    <w:rsid w:val="00AE0EEF"/>
    <w:rsid w:val="00AE1B56"/>
    <w:rsid w:val="00AE4602"/>
    <w:rsid w:val="00AE4B1A"/>
    <w:rsid w:val="00AF0393"/>
    <w:rsid w:val="00AF3870"/>
    <w:rsid w:val="00AF590C"/>
    <w:rsid w:val="00AF654F"/>
    <w:rsid w:val="00B02460"/>
    <w:rsid w:val="00B0295C"/>
    <w:rsid w:val="00B037D1"/>
    <w:rsid w:val="00B048C1"/>
    <w:rsid w:val="00B06276"/>
    <w:rsid w:val="00B078EA"/>
    <w:rsid w:val="00B10D60"/>
    <w:rsid w:val="00B10D80"/>
    <w:rsid w:val="00B11DF6"/>
    <w:rsid w:val="00B12048"/>
    <w:rsid w:val="00B12B4E"/>
    <w:rsid w:val="00B13602"/>
    <w:rsid w:val="00B15C02"/>
    <w:rsid w:val="00B164FA"/>
    <w:rsid w:val="00B16C97"/>
    <w:rsid w:val="00B17355"/>
    <w:rsid w:val="00B17867"/>
    <w:rsid w:val="00B23D9B"/>
    <w:rsid w:val="00B24952"/>
    <w:rsid w:val="00B25032"/>
    <w:rsid w:val="00B27091"/>
    <w:rsid w:val="00B2742B"/>
    <w:rsid w:val="00B27C8D"/>
    <w:rsid w:val="00B30BB7"/>
    <w:rsid w:val="00B337C5"/>
    <w:rsid w:val="00B345B7"/>
    <w:rsid w:val="00B400A4"/>
    <w:rsid w:val="00B428FE"/>
    <w:rsid w:val="00B42B56"/>
    <w:rsid w:val="00B4326A"/>
    <w:rsid w:val="00B44627"/>
    <w:rsid w:val="00B4478A"/>
    <w:rsid w:val="00B51597"/>
    <w:rsid w:val="00B56189"/>
    <w:rsid w:val="00B60A9C"/>
    <w:rsid w:val="00B61E16"/>
    <w:rsid w:val="00B625FC"/>
    <w:rsid w:val="00B62DAB"/>
    <w:rsid w:val="00B63DFD"/>
    <w:rsid w:val="00B644DA"/>
    <w:rsid w:val="00B668EC"/>
    <w:rsid w:val="00B72BED"/>
    <w:rsid w:val="00B73CD1"/>
    <w:rsid w:val="00B753A8"/>
    <w:rsid w:val="00B7620F"/>
    <w:rsid w:val="00B76825"/>
    <w:rsid w:val="00B773F6"/>
    <w:rsid w:val="00B8263D"/>
    <w:rsid w:val="00B83E13"/>
    <w:rsid w:val="00B83FB5"/>
    <w:rsid w:val="00B901CF"/>
    <w:rsid w:val="00B914E1"/>
    <w:rsid w:val="00B91F69"/>
    <w:rsid w:val="00B93AE2"/>
    <w:rsid w:val="00B93F91"/>
    <w:rsid w:val="00B940B8"/>
    <w:rsid w:val="00B943DF"/>
    <w:rsid w:val="00B947C9"/>
    <w:rsid w:val="00B94868"/>
    <w:rsid w:val="00B94B2C"/>
    <w:rsid w:val="00B95461"/>
    <w:rsid w:val="00BA0D9C"/>
    <w:rsid w:val="00BA18D2"/>
    <w:rsid w:val="00BA196A"/>
    <w:rsid w:val="00BA1AEB"/>
    <w:rsid w:val="00BA21DA"/>
    <w:rsid w:val="00BA2218"/>
    <w:rsid w:val="00BA3F3D"/>
    <w:rsid w:val="00BA4965"/>
    <w:rsid w:val="00BA5183"/>
    <w:rsid w:val="00BA694D"/>
    <w:rsid w:val="00BA7B94"/>
    <w:rsid w:val="00BB2D53"/>
    <w:rsid w:val="00BB396C"/>
    <w:rsid w:val="00BB498B"/>
    <w:rsid w:val="00BB4E9D"/>
    <w:rsid w:val="00BB7245"/>
    <w:rsid w:val="00BC17D9"/>
    <w:rsid w:val="00BC35F9"/>
    <w:rsid w:val="00BC55F7"/>
    <w:rsid w:val="00BC5FB9"/>
    <w:rsid w:val="00BC689F"/>
    <w:rsid w:val="00BD0C53"/>
    <w:rsid w:val="00BD1192"/>
    <w:rsid w:val="00BD281B"/>
    <w:rsid w:val="00BD2A26"/>
    <w:rsid w:val="00BD30E2"/>
    <w:rsid w:val="00BD6561"/>
    <w:rsid w:val="00BD67A7"/>
    <w:rsid w:val="00BD79F1"/>
    <w:rsid w:val="00BE0B5E"/>
    <w:rsid w:val="00BE14E6"/>
    <w:rsid w:val="00BE518C"/>
    <w:rsid w:val="00BE570C"/>
    <w:rsid w:val="00BF19AD"/>
    <w:rsid w:val="00BF1ABF"/>
    <w:rsid w:val="00BF4890"/>
    <w:rsid w:val="00C01B63"/>
    <w:rsid w:val="00C04CD1"/>
    <w:rsid w:val="00C05496"/>
    <w:rsid w:val="00C05F48"/>
    <w:rsid w:val="00C068CF"/>
    <w:rsid w:val="00C11577"/>
    <w:rsid w:val="00C11AEF"/>
    <w:rsid w:val="00C12589"/>
    <w:rsid w:val="00C12748"/>
    <w:rsid w:val="00C142F3"/>
    <w:rsid w:val="00C1445C"/>
    <w:rsid w:val="00C15747"/>
    <w:rsid w:val="00C24360"/>
    <w:rsid w:val="00C24676"/>
    <w:rsid w:val="00C249CC"/>
    <w:rsid w:val="00C252B9"/>
    <w:rsid w:val="00C25CB0"/>
    <w:rsid w:val="00C266C6"/>
    <w:rsid w:val="00C2727C"/>
    <w:rsid w:val="00C3043B"/>
    <w:rsid w:val="00C32334"/>
    <w:rsid w:val="00C3237E"/>
    <w:rsid w:val="00C35520"/>
    <w:rsid w:val="00C359F2"/>
    <w:rsid w:val="00C4129D"/>
    <w:rsid w:val="00C4146C"/>
    <w:rsid w:val="00C470E2"/>
    <w:rsid w:val="00C471D3"/>
    <w:rsid w:val="00C5021B"/>
    <w:rsid w:val="00C50CCD"/>
    <w:rsid w:val="00C51497"/>
    <w:rsid w:val="00C52BCB"/>
    <w:rsid w:val="00C53A26"/>
    <w:rsid w:val="00C55366"/>
    <w:rsid w:val="00C56E88"/>
    <w:rsid w:val="00C60F5B"/>
    <w:rsid w:val="00C61935"/>
    <w:rsid w:val="00C61954"/>
    <w:rsid w:val="00C62969"/>
    <w:rsid w:val="00C62F01"/>
    <w:rsid w:val="00C633AE"/>
    <w:rsid w:val="00C6350C"/>
    <w:rsid w:val="00C63B97"/>
    <w:rsid w:val="00C64787"/>
    <w:rsid w:val="00C66BFB"/>
    <w:rsid w:val="00C66F0D"/>
    <w:rsid w:val="00C670F5"/>
    <w:rsid w:val="00C70488"/>
    <w:rsid w:val="00C70BD0"/>
    <w:rsid w:val="00C71B23"/>
    <w:rsid w:val="00C71DD5"/>
    <w:rsid w:val="00C71E1F"/>
    <w:rsid w:val="00C72FCC"/>
    <w:rsid w:val="00C738E5"/>
    <w:rsid w:val="00C73C8F"/>
    <w:rsid w:val="00C73FBC"/>
    <w:rsid w:val="00C81146"/>
    <w:rsid w:val="00C81E4E"/>
    <w:rsid w:val="00C8232A"/>
    <w:rsid w:val="00C8328A"/>
    <w:rsid w:val="00C832BA"/>
    <w:rsid w:val="00C84447"/>
    <w:rsid w:val="00C903E5"/>
    <w:rsid w:val="00C90CD1"/>
    <w:rsid w:val="00C9189F"/>
    <w:rsid w:val="00C91A7C"/>
    <w:rsid w:val="00C9253E"/>
    <w:rsid w:val="00C92C16"/>
    <w:rsid w:val="00C93617"/>
    <w:rsid w:val="00C93781"/>
    <w:rsid w:val="00C93F4F"/>
    <w:rsid w:val="00C9527A"/>
    <w:rsid w:val="00CA3EAF"/>
    <w:rsid w:val="00CA4F08"/>
    <w:rsid w:val="00CA638E"/>
    <w:rsid w:val="00CB17AA"/>
    <w:rsid w:val="00CB1E57"/>
    <w:rsid w:val="00CB346E"/>
    <w:rsid w:val="00CB6D53"/>
    <w:rsid w:val="00CB6E93"/>
    <w:rsid w:val="00CC1889"/>
    <w:rsid w:val="00CC6040"/>
    <w:rsid w:val="00CC683A"/>
    <w:rsid w:val="00CC7A90"/>
    <w:rsid w:val="00CD0DE3"/>
    <w:rsid w:val="00CD1E18"/>
    <w:rsid w:val="00CD2800"/>
    <w:rsid w:val="00CE08EE"/>
    <w:rsid w:val="00CE0BD3"/>
    <w:rsid w:val="00CE1E1C"/>
    <w:rsid w:val="00CE2D78"/>
    <w:rsid w:val="00CE4369"/>
    <w:rsid w:val="00CE568B"/>
    <w:rsid w:val="00CE5BD8"/>
    <w:rsid w:val="00CF1C0B"/>
    <w:rsid w:val="00CF2973"/>
    <w:rsid w:val="00CF3A8F"/>
    <w:rsid w:val="00CF4AD8"/>
    <w:rsid w:val="00CF5579"/>
    <w:rsid w:val="00CF7172"/>
    <w:rsid w:val="00CF78DF"/>
    <w:rsid w:val="00D005BE"/>
    <w:rsid w:val="00D007CA"/>
    <w:rsid w:val="00D012B8"/>
    <w:rsid w:val="00D0184C"/>
    <w:rsid w:val="00D036D4"/>
    <w:rsid w:val="00D040F0"/>
    <w:rsid w:val="00D043FD"/>
    <w:rsid w:val="00D05E5D"/>
    <w:rsid w:val="00D0673A"/>
    <w:rsid w:val="00D12B5C"/>
    <w:rsid w:val="00D13027"/>
    <w:rsid w:val="00D1323A"/>
    <w:rsid w:val="00D17346"/>
    <w:rsid w:val="00D20D58"/>
    <w:rsid w:val="00D245D8"/>
    <w:rsid w:val="00D25A2C"/>
    <w:rsid w:val="00D25AAF"/>
    <w:rsid w:val="00D26D3B"/>
    <w:rsid w:val="00D3680F"/>
    <w:rsid w:val="00D3700D"/>
    <w:rsid w:val="00D4122E"/>
    <w:rsid w:val="00D423D2"/>
    <w:rsid w:val="00D4275B"/>
    <w:rsid w:val="00D43EA4"/>
    <w:rsid w:val="00D45AEA"/>
    <w:rsid w:val="00D4753B"/>
    <w:rsid w:val="00D476A2"/>
    <w:rsid w:val="00D50554"/>
    <w:rsid w:val="00D51B23"/>
    <w:rsid w:val="00D528DD"/>
    <w:rsid w:val="00D52D53"/>
    <w:rsid w:val="00D53CA4"/>
    <w:rsid w:val="00D53CBF"/>
    <w:rsid w:val="00D54F4B"/>
    <w:rsid w:val="00D55FCD"/>
    <w:rsid w:val="00D56D8B"/>
    <w:rsid w:val="00D57F15"/>
    <w:rsid w:val="00D62296"/>
    <w:rsid w:val="00D631C3"/>
    <w:rsid w:val="00D64037"/>
    <w:rsid w:val="00D64752"/>
    <w:rsid w:val="00D64976"/>
    <w:rsid w:val="00D65356"/>
    <w:rsid w:val="00D65F3C"/>
    <w:rsid w:val="00D70E02"/>
    <w:rsid w:val="00D72089"/>
    <w:rsid w:val="00D72C5C"/>
    <w:rsid w:val="00D74384"/>
    <w:rsid w:val="00D779E0"/>
    <w:rsid w:val="00D82271"/>
    <w:rsid w:val="00D837A1"/>
    <w:rsid w:val="00D87FE5"/>
    <w:rsid w:val="00D90A23"/>
    <w:rsid w:val="00D91025"/>
    <w:rsid w:val="00D92EB0"/>
    <w:rsid w:val="00D9464B"/>
    <w:rsid w:val="00D972AA"/>
    <w:rsid w:val="00DA09BA"/>
    <w:rsid w:val="00DA2EA1"/>
    <w:rsid w:val="00DA4231"/>
    <w:rsid w:val="00DA54DC"/>
    <w:rsid w:val="00DA60EF"/>
    <w:rsid w:val="00DA673C"/>
    <w:rsid w:val="00DA7D72"/>
    <w:rsid w:val="00DB06AA"/>
    <w:rsid w:val="00DB2309"/>
    <w:rsid w:val="00DB2E3B"/>
    <w:rsid w:val="00DB4D8B"/>
    <w:rsid w:val="00DB4E26"/>
    <w:rsid w:val="00DB63AE"/>
    <w:rsid w:val="00DB7169"/>
    <w:rsid w:val="00DB7F0E"/>
    <w:rsid w:val="00DC17D7"/>
    <w:rsid w:val="00DC1A92"/>
    <w:rsid w:val="00DC2F31"/>
    <w:rsid w:val="00DC3333"/>
    <w:rsid w:val="00DC44B5"/>
    <w:rsid w:val="00DC4936"/>
    <w:rsid w:val="00DC7A58"/>
    <w:rsid w:val="00DD0A6E"/>
    <w:rsid w:val="00DD171B"/>
    <w:rsid w:val="00DD28A1"/>
    <w:rsid w:val="00DD2C78"/>
    <w:rsid w:val="00DD2EFC"/>
    <w:rsid w:val="00DD523D"/>
    <w:rsid w:val="00DD644D"/>
    <w:rsid w:val="00DD6882"/>
    <w:rsid w:val="00DE01C9"/>
    <w:rsid w:val="00DE0363"/>
    <w:rsid w:val="00DE0C74"/>
    <w:rsid w:val="00DE2D2C"/>
    <w:rsid w:val="00DE3C3C"/>
    <w:rsid w:val="00DE468C"/>
    <w:rsid w:val="00DE76D6"/>
    <w:rsid w:val="00DF1850"/>
    <w:rsid w:val="00DF1A11"/>
    <w:rsid w:val="00DF2752"/>
    <w:rsid w:val="00DF3356"/>
    <w:rsid w:val="00DF5371"/>
    <w:rsid w:val="00DF6F70"/>
    <w:rsid w:val="00DF73BE"/>
    <w:rsid w:val="00E01ECB"/>
    <w:rsid w:val="00E03F87"/>
    <w:rsid w:val="00E1083F"/>
    <w:rsid w:val="00E10AEF"/>
    <w:rsid w:val="00E127D6"/>
    <w:rsid w:val="00E12B46"/>
    <w:rsid w:val="00E13A80"/>
    <w:rsid w:val="00E14065"/>
    <w:rsid w:val="00E1470C"/>
    <w:rsid w:val="00E14961"/>
    <w:rsid w:val="00E14FE9"/>
    <w:rsid w:val="00E16571"/>
    <w:rsid w:val="00E16D46"/>
    <w:rsid w:val="00E20486"/>
    <w:rsid w:val="00E2403A"/>
    <w:rsid w:val="00E24989"/>
    <w:rsid w:val="00E2571A"/>
    <w:rsid w:val="00E26A4B"/>
    <w:rsid w:val="00E26DEC"/>
    <w:rsid w:val="00E30CA3"/>
    <w:rsid w:val="00E315FD"/>
    <w:rsid w:val="00E319AF"/>
    <w:rsid w:val="00E346D6"/>
    <w:rsid w:val="00E34E47"/>
    <w:rsid w:val="00E3700F"/>
    <w:rsid w:val="00E40743"/>
    <w:rsid w:val="00E41191"/>
    <w:rsid w:val="00E416E0"/>
    <w:rsid w:val="00E41A6A"/>
    <w:rsid w:val="00E424BD"/>
    <w:rsid w:val="00E42816"/>
    <w:rsid w:val="00E42DDC"/>
    <w:rsid w:val="00E4459D"/>
    <w:rsid w:val="00E4470C"/>
    <w:rsid w:val="00E457C9"/>
    <w:rsid w:val="00E45F25"/>
    <w:rsid w:val="00E46C5E"/>
    <w:rsid w:val="00E50118"/>
    <w:rsid w:val="00E5065D"/>
    <w:rsid w:val="00E514BA"/>
    <w:rsid w:val="00E530E6"/>
    <w:rsid w:val="00E551DF"/>
    <w:rsid w:val="00E56EBF"/>
    <w:rsid w:val="00E61C9C"/>
    <w:rsid w:val="00E632D0"/>
    <w:rsid w:val="00E63F5B"/>
    <w:rsid w:val="00E6499D"/>
    <w:rsid w:val="00E65BFA"/>
    <w:rsid w:val="00E679D8"/>
    <w:rsid w:val="00E70923"/>
    <w:rsid w:val="00E70E67"/>
    <w:rsid w:val="00E72B7F"/>
    <w:rsid w:val="00E7506D"/>
    <w:rsid w:val="00E75D30"/>
    <w:rsid w:val="00E77E92"/>
    <w:rsid w:val="00E80665"/>
    <w:rsid w:val="00E8335E"/>
    <w:rsid w:val="00E83646"/>
    <w:rsid w:val="00E859BE"/>
    <w:rsid w:val="00E87202"/>
    <w:rsid w:val="00E908C5"/>
    <w:rsid w:val="00E91C54"/>
    <w:rsid w:val="00E92225"/>
    <w:rsid w:val="00E925E8"/>
    <w:rsid w:val="00E9367F"/>
    <w:rsid w:val="00E93B27"/>
    <w:rsid w:val="00E95157"/>
    <w:rsid w:val="00E954C2"/>
    <w:rsid w:val="00E968A1"/>
    <w:rsid w:val="00E96ACF"/>
    <w:rsid w:val="00E97BBF"/>
    <w:rsid w:val="00EA0640"/>
    <w:rsid w:val="00EA4D25"/>
    <w:rsid w:val="00EA5680"/>
    <w:rsid w:val="00EA6377"/>
    <w:rsid w:val="00EA7F4D"/>
    <w:rsid w:val="00EB05A2"/>
    <w:rsid w:val="00EB3236"/>
    <w:rsid w:val="00EB35CF"/>
    <w:rsid w:val="00EB4C58"/>
    <w:rsid w:val="00EB4DB3"/>
    <w:rsid w:val="00EB5D2D"/>
    <w:rsid w:val="00EB6028"/>
    <w:rsid w:val="00EB68E7"/>
    <w:rsid w:val="00EB7A5C"/>
    <w:rsid w:val="00EC261F"/>
    <w:rsid w:val="00EC37A5"/>
    <w:rsid w:val="00EC3FDA"/>
    <w:rsid w:val="00EC4123"/>
    <w:rsid w:val="00EC708C"/>
    <w:rsid w:val="00ED01C8"/>
    <w:rsid w:val="00ED10A5"/>
    <w:rsid w:val="00ED14DC"/>
    <w:rsid w:val="00ED1D20"/>
    <w:rsid w:val="00ED2370"/>
    <w:rsid w:val="00ED2565"/>
    <w:rsid w:val="00ED5A6C"/>
    <w:rsid w:val="00ED6266"/>
    <w:rsid w:val="00ED6FCB"/>
    <w:rsid w:val="00ED7427"/>
    <w:rsid w:val="00ED7560"/>
    <w:rsid w:val="00ED797E"/>
    <w:rsid w:val="00ED7E46"/>
    <w:rsid w:val="00EE1117"/>
    <w:rsid w:val="00EE1784"/>
    <w:rsid w:val="00EE1ACD"/>
    <w:rsid w:val="00EE2118"/>
    <w:rsid w:val="00EE214A"/>
    <w:rsid w:val="00EE2385"/>
    <w:rsid w:val="00EE295E"/>
    <w:rsid w:val="00EE3057"/>
    <w:rsid w:val="00EE35DD"/>
    <w:rsid w:val="00EE392D"/>
    <w:rsid w:val="00EE4CAE"/>
    <w:rsid w:val="00EE50EE"/>
    <w:rsid w:val="00EE56CF"/>
    <w:rsid w:val="00EE759A"/>
    <w:rsid w:val="00EF22F3"/>
    <w:rsid w:val="00EF3186"/>
    <w:rsid w:val="00EF4F79"/>
    <w:rsid w:val="00F0016E"/>
    <w:rsid w:val="00F053AA"/>
    <w:rsid w:val="00F07940"/>
    <w:rsid w:val="00F07B0C"/>
    <w:rsid w:val="00F07F86"/>
    <w:rsid w:val="00F1019B"/>
    <w:rsid w:val="00F13234"/>
    <w:rsid w:val="00F13C73"/>
    <w:rsid w:val="00F15EC5"/>
    <w:rsid w:val="00F170FF"/>
    <w:rsid w:val="00F214C9"/>
    <w:rsid w:val="00F23C89"/>
    <w:rsid w:val="00F3794A"/>
    <w:rsid w:val="00F435DD"/>
    <w:rsid w:val="00F46EC6"/>
    <w:rsid w:val="00F5233D"/>
    <w:rsid w:val="00F52F3C"/>
    <w:rsid w:val="00F53514"/>
    <w:rsid w:val="00F53DED"/>
    <w:rsid w:val="00F5414F"/>
    <w:rsid w:val="00F54E7B"/>
    <w:rsid w:val="00F613AC"/>
    <w:rsid w:val="00F62A82"/>
    <w:rsid w:val="00F642FA"/>
    <w:rsid w:val="00F67D56"/>
    <w:rsid w:val="00F77211"/>
    <w:rsid w:val="00F7769A"/>
    <w:rsid w:val="00F801AD"/>
    <w:rsid w:val="00F80447"/>
    <w:rsid w:val="00F80FEB"/>
    <w:rsid w:val="00F825AA"/>
    <w:rsid w:val="00F8271B"/>
    <w:rsid w:val="00F84F65"/>
    <w:rsid w:val="00F864F3"/>
    <w:rsid w:val="00F86F2E"/>
    <w:rsid w:val="00F938ED"/>
    <w:rsid w:val="00F93CC6"/>
    <w:rsid w:val="00F946CB"/>
    <w:rsid w:val="00F95DBE"/>
    <w:rsid w:val="00FA26E9"/>
    <w:rsid w:val="00FA2DF6"/>
    <w:rsid w:val="00FA4C89"/>
    <w:rsid w:val="00FA61F3"/>
    <w:rsid w:val="00FA6AAB"/>
    <w:rsid w:val="00FB16A9"/>
    <w:rsid w:val="00FB3533"/>
    <w:rsid w:val="00FB4088"/>
    <w:rsid w:val="00FB4DC1"/>
    <w:rsid w:val="00FB503E"/>
    <w:rsid w:val="00FB5D34"/>
    <w:rsid w:val="00FB640B"/>
    <w:rsid w:val="00FC0B19"/>
    <w:rsid w:val="00FC0C9A"/>
    <w:rsid w:val="00FC2A09"/>
    <w:rsid w:val="00FC5DAB"/>
    <w:rsid w:val="00FC65AF"/>
    <w:rsid w:val="00FC7B3E"/>
    <w:rsid w:val="00FD0CD6"/>
    <w:rsid w:val="00FD1408"/>
    <w:rsid w:val="00FD248C"/>
    <w:rsid w:val="00FD42DC"/>
    <w:rsid w:val="00FD5332"/>
    <w:rsid w:val="00FD6F97"/>
    <w:rsid w:val="00FD73E6"/>
    <w:rsid w:val="00FD760D"/>
    <w:rsid w:val="00FE2F45"/>
    <w:rsid w:val="00FE506C"/>
    <w:rsid w:val="00FE5B41"/>
    <w:rsid w:val="00FE7BD6"/>
    <w:rsid w:val="00FF24F0"/>
    <w:rsid w:val="00FF3C15"/>
    <w:rsid w:val="00FF488F"/>
    <w:rsid w:val="00FF640A"/>
    <w:rsid w:val="00FF6A72"/>
    <w:rsid w:val="00FF7677"/>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71DC7E-1A91-42E8-A25E-32A11F54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A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D79EE"/>
    <w:pPr>
      <w:keepNext/>
      <w:keepLines/>
      <w:numPr>
        <w:numId w:val="11"/>
      </w:numPr>
      <w:spacing w:after="120"/>
      <w:ind w:left="0"/>
      <w:jc w:val="center"/>
      <w:outlineLvl w:val="0"/>
    </w:pPr>
    <w:rPr>
      <w:rFonts w:eastAsiaTheme="majorEastAsia" w:cs="Times New Roman"/>
      <w:b/>
      <w:bCs/>
      <w:caps/>
      <w:sz w:val="28"/>
    </w:rPr>
  </w:style>
  <w:style w:type="paragraph" w:styleId="Heading2">
    <w:name w:val="heading 2"/>
    <w:basedOn w:val="Normal"/>
    <w:next w:val="Normal"/>
    <w:link w:val="Heading2Char"/>
    <w:unhideWhenUsed/>
    <w:qFormat/>
    <w:rsid w:val="00074E04"/>
    <w:pPr>
      <w:keepNext/>
      <w:keepLines/>
      <w:numPr>
        <w:ilvl w:val="1"/>
        <w:numId w:val="11"/>
      </w:numPr>
      <w:spacing w:before="320" w:after="60"/>
      <w:ind w:left="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A7205"/>
    <w:pPr>
      <w:keepNext/>
      <w:keepLines/>
      <w:numPr>
        <w:ilvl w:val="2"/>
        <w:numId w:val="11"/>
      </w:numPr>
      <w:spacing w:before="200" w:after="60"/>
      <w:ind w:left="0"/>
      <w:outlineLvl w:val="2"/>
    </w:pPr>
    <w:rPr>
      <w:rFonts w:eastAsiaTheme="majorEastAsia" w:cstheme="majorBidi"/>
      <w:bCs/>
      <w:i/>
      <w:u w:val="single"/>
    </w:rPr>
  </w:style>
  <w:style w:type="paragraph" w:styleId="Heading4">
    <w:name w:val="heading 4"/>
    <w:basedOn w:val="Normal"/>
    <w:next w:val="Normal"/>
    <w:link w:val="Heading4Char"/>
    <w:uiPriority w:val="9"/>
    <w:unhideWhenUsed/>
    <w:qFormat/>
    <w:rsid w:val="007057B8"/>
    <w:pPr>
      <w:keepNext/>
      <w:keepLines/>
      <w:numPr>
        <w:ilvl w:val="3"/>
        <w:numId w:val="11"/>
      </w:numPr>
      <w:spacing w:before="200" w:line="48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057B8"/>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057B8"/>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057B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057B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057B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EC6"/>
    <w:rPr>
      <w:color w:val="0000FF" w:themeColor="hyperlink"/>
      <w:u w:val="single"/>
    </w:rPr>
  </w:style>
  <w:style w:type="paragraph" w:styleId="ListParagraph">
    <w:name w:val="List Paragraph"/>
    <w:basedOn w:val="Normal"/>
    <w:uiPriority w:val="34"/>
    <w:qFormat/>
    <w:rsid w:val="00F46EC6"/>
    <w:pPr>
      <w:ind w:left="720"/>
      <w:contextualSpacing/>
    </w:pPr>
  </w:style>
  <w:style w:type="paragraph" w:styleId="FootnoteText">
    <w:name w:val="footnote text"/>
    <w:basedOn w:val="Normal"/>
    <w:link w:val="FootnoteTextChar"/>
    <w:uiPriority w:val="99"/>
    <w:rsid w:val="00F46EC6"/>
    <w:rPr>
      <w:sz w:val="20"/>
      <w:szCs w:val="20"/>
    </w:rPr>
  </w:style>
  <w:style w:type="character" w:customStyle="1" w:styleId="FootnoteTextChar">
    <w:name w:val="Footnote Text Char"/>
    <w:basedOn w:val="DefaultParagraphFont"/>
    <w:link w:val="FootnoteText"/>
    <w:uiPriority w:val="99"/>
    <w:rsid w:val="00F46EC6"/>
    <w:rPr>
      <w:sz w:val="20"/>
      <w:szCs w:val="20"/>
    </w:rPr>
  </w:style>
  <w:style w:type="character" w:styleId="FootnoteReference">
    <w:name w:val="footnote reference"/>
    <w:basedOn w:val="DefaultParagraphFont"/>
    <w:uiPriority w:val="99"/>
    <w:rsid w:val="00F46EC6"/>
    <w:rPr>
      <w:vertAlign w:val="superscript"/>
    </w:rPr>
  </w:style>
  <w:style w:type="paragraph" w:styleId="BalloonText">
    <w:name w:val="Balloon Text"/>
    <w:basedOn w:val="Normal"/>
    <w:link w:val="BalloonTextChar"/>
    <w:uiPriority w:val="99"/>
    <w:unhideWhenUsed/>
    <w:rsid w:val="00F46EC6"/>
    <w:rPr>
      <w:rFonts w:ascii="Tahoma" w:hAnsi="Tahoma" w:cs="Tahoma"/>
      <w:sz w:val="16"/>
      <w:szCs w:val="16"/>
    </w:rPr>
  </w:style>
  <w:style w:type="character" w:customStyle="1" w:styleId="BalloonTextChar">
    <w:name w:val="Balloon Text Char"/>
    <w:basedOn w:val="DefaultParagraphFont"/>
    <w:link w:val="BalloonText"/>
    <w:uiPriority w:val="99"/>
    <w:rsid w:val="00F46EC6"/>
    <w:rPr>
      <w:rFonts w:ascii="Tahoma" w:hAnsi="Tahoma" w:cs="Tahoma"/>
      <w:sz w:val="16"/>
      <w:szCs w:val="16"/>
    </w:rPr>
  </w:style>
  <w:style w:type="character" w:styleId="FollowedHyperlink">
    <w:name w:val="FollowedHyperlink"/>
    <w:basedOn w:val="DefaultParagraphFont"/>
    <w:uiPriority w:val="99"/>
    <w:rsid w:val="00F46EC6"/>
    <w:rPr>
      <w:color w:val="993366"/>
      <w:u w:val="single"/>
    </w:rPr>
  </w:style>
  <w:style w:type="paragraph" w:customStyle="1" w:styleId="font5">
    <w:name w:val="font5"/>
    <w:basedOn w:val="Normal"/>
    <w:rsid w:val="00F46EC6"/>
    <w:pPr>
      <w:spacing w:beforeLines="1" w:afterLines="1"/>
    </w:pPr>
    <w:rPr>
      <w:rFonts w:ascii="Verdana" w:hAnsi="Verdana"/>
      <w:sz w:val="16"/>
      <w:szCs w:val="16"/>
    </w:rPr>
  </w:style>
  <w:style w:type="paragraph" w:customStyle="1" w:styleId="xl60">
    <w:name w:val="xl60"/>
    <w:basedOn w:val="Normal"/>
    <w:rsid w:val="00F46EC6"/>
    <w:pPr>
      <w:spacing w:beforeLines="1" w:afterLines="1"/>
      <w:jc w:val="center"/>
      <w:textAlignment w:val="center"/>
    </w:pPr>
    <w:rPr>
      <w:rFonts w:ascii="Times" w:hAnsi="Times"/>
      <w:sz w:val="20"/>
      <w:szCs w:val="20"/>
    </w:rPr>
  </w:style>
  <w:style w:type="paragraph" w:customStyle="1" w:styleId="xl61">
    <w:name w:val="xl61"/>
    <w:basedOn w:val="Normal"/>
    <w:rsid w:val="00F46EC6"/>
    <w:pPr>
      <w:spacing w:beforeLines="1" w:afterLines="1"/>
      <w:jc w:val="center"/>
      <w:textAlignment w:val="center"/>
    </w:pPr>
    <w:rPr>
      <w:rFonts w:ascii="Times" w:hAnsi="Times"/>
      <w:sz w:val="20"/>
      <w:szCs w:val="20"/>
    </w:rPr>
  </w:style>
  <w:style w:type="paragraph" w:customStyle="1" w:styleId="xl62">
    <w:name w:val="xl62"/>
    <w:basedOn w:val="Normal"/>
    <w:rsid w:val="00F46EC6"/>
    <w:pPr>
      <w:spacing w:beforeLines="1" w:afterLines="1"/>
      <w:jc w:val="center"/>
      <w:textAlignment w:val="center"/>
    </w:pPr>
    <w:rPr>
      <w:rFonts w:ascii="Times" w:hAnsi="Times"/>
      <w:sz w:val="20"/>
      <w:szCs w:val="20"/>
    </w:rPr>
  </w:style>
  <w:style w:type="paragraph" w:customStyle="1" w:styleId="xl63">
    <w:name w:val="xl63"/>
    <w:basedOn w:val="Normal"/>
    <w:rsid w:val="00F46EC6"/>
    <w:pPr>
      <w:spacing w:beforeLines="1" w:afterLines="1"/>
      <w:jc w:val="center"/>
      <w:textAlignment w:val="center"/>
    </w:pPr>
    <w:rPr>
      <w:rFonts w:ascii="Times" w:hAnsi="Times"/>
      <w:sz w:val="20"/>
      <w:szCs w:val="20"/>
    </w:rPr>
  </w:style>
  <w:style w:type="paragraph" w:customStyle="1" w:styleId="xl64">
    <w:name w:val="xl64"/>
    <w:basedOn w:val="Normal"/>
    <w:rsid w:val="00F46EC6"/>
    <w:pPr>
      <w:spacing w:beforeLines="1" w:afterLines="1"/>
      <w:jc w:val="center"/>
      <w:textAlignment w:val="center"/>
    </w:pPr>
  </w:style>
  <w:style w:type="character" w:styleId="CommentReference">
    <w:name w:val="annotation reference"/>
    <w:basedOn w:val="DefaultParagraphFont"/>
    <w:uiPriority w:val="99"/>
    <w:rsid w:val="00F46EC6"/>
    <w:rPr>
      <w:sz w:val="16"/>
      <w:szCs w:val="16"/>
    </w:rPr>
  </w:style>
  <w:style w:type="paragraph" w:styleId="CommentText">
    <w:name w:val="annotation text"/>
    <w:basedOn w:val="Normal"/>
    <w:link w:val="CommentTextChar"/>
    <w:uiPriority w:val="99"/>
    <w:rsid w:val="00F46EC6"/>
    <w:rPr>
      <w:sz w:val="20"/>
      <w:szCs w:val="20"/>
    </w:rPr>
  </w:style>
  <w:style w:type="character" w:customStyle="1" w:styleId="CommentTextChar">
    <w:name w:val="Comment Text Char"/>
    <w:basedOn w:val="DefaultParagraphFont"/>
    <w:link w:val="CommentText"/>
    <w:uiPriority w:val="99"/>
    <w:rsid w:val="00F46EC6"/>
    <w:rPr>
      <w:sz w:val="20"/>
      <w:szCs w:val="20"/>
    </w:rPr>
  </w:style>
  <w:style w:type="paragraph" w:styleId="CommentSubject">
    <w:name w:val="annotation subject"/>
    <w:basedOn w:val="CommentText"/>
    <w:next w:val="CommentText"/>
    <w:link w:val="CommentSubjectChar"/>
    <w:uiPriority w:val="99"/>
    <w:rsid w:val="00F46EC6"/>
    <w:rPr>
      <w:b/>
      <w:bCs/>
    </w:rPr>
  </w:style>
  <w:style w:type="character" w:customStyle="1" w:styleId="CommentSubjectChar">
    <w:name w:val="Comment Subject Char"/>
    <w:basedOn w:val="CommentTextChar"/>
    <w:link w:val="CommentSubject"/>
    <w:uiPriority w:val="99"/>
    <w:rsid w:val="00F46EC6"/>
    <w:rPr>
      <w:b/>
      <w:bCs/>
      <w:sz w:val="20"/>
      <w:szCs w:val="20"/>
    </w:rPr>
  </w:style>
  <w:style w:type="paragraph" w:styleId="Revision">
    <w:name w:val="Revision"/>
    <w:hidden/>
    <w:rsid w:val="00F46EC6"/>
    <w:pPr>
      <w:spacing w:after="0" w:line="240" w:lineRule="auto"/>
    </w:pPr>
    <w:rPr>
      <w:sz w:val="24"/>
      <w:szCs w:val="24"/>
    </w:rPr>
  </w:style>
  <w:style w:type="paragraph" w:styleId="Header">
    <w:name w:val="header"/>
    <w:basedOn w:val="Normal"/>
    <w:link w:val="HeaderChar"/>
    <w:uiPriority w:val="99"/>
    <w:unhideWhenUsed/>
    <w:rsid w:val="00F46EC6"/>
    <w:pPr>
      <w:tabs>
        <w:tab w:val="center" w:pos="4320"/>
        <w:tab w:val="right" w:pos="8640"/>
      </w:tabs>
    </w:pPr>
  </w:style>
  <w:style w:type="character" w:customStyle="1" w:styleId="HeaderChar">
    <w:name w:val="Header Char"/>
    <w:basedOn w:val="DefaultParagraphFont"/>
    <w:link w:val="Header"/>
    <w:uiPriority w:val="99"/>
    <w:rsid w:val="00F46EC6"/>
    <w:rPr>
      <w:sz w:val="24"/>
      <w:szCs w:val="24"/>
    </w:rPr>
  </w:style>
  <w:style w:type="paragraph" w:styleId="Footer">
    <w:name w:val="footer"/>
    <w:basedOn w:val="Normal"/>
    <w:link w:val="FooterChar"/>
    <w:uiPriority w:val="99"/>
    <w:unhideWhenUsed/>
    <w:rsid w:val="00F46EC6"/>
    <w:pPr>
      <w:tabs>
        <w:tab w:val="center" w:pos="4320"/>
        <w:tab w:val="right" w:pos="8640"/>
      </w:tabs>
    </w:pPr>
  </w:style>
  <w:style w:type="character" w:customStyle="1" w:styleId="FooterChar">
    <w:name w:val="Footer Char"/>
    <w:basedOn w:val="DefaultParagraphFont"/>
    <w:link w:val="Footer"/>
    <w:uiPriority w:val="99"/>
    <w:rsid w:val="00F46EC6"/>
    <w:rPr>
      <w:sz w:val="24"/>
      <w:szCs w:val="24"/>
    </w:rPr>
  </w:style>
  <w:style w:type="character" w:customStyle="1" w:styleId="Heading1Char">
    <w:name w:val="Heading 1 Char"/>
    <w:basedOn w:val="DefaultParagraphFont"/>
    <w:link w:val="Heading1"/>
    <w:uiPriority w:val="9"/>
    <w:rsid w:val="006D79EE"/>
    <w:rPr>
      <w:rFonts w:ascii="Times New Roman" w:eastAsiaTheme="majorEastAsia" w:hAnsi="Times New Roman" w:cs="Times New Roman"/>
      <w:b/>
      <w:bCs/>
      <w:caps/>
      <w:sz w:val="28"/>
      <w:szCs w:val="24"/>
    </w:rPr>
  </w:style>
  <w:style w:type="paragraph" w:styleId="TOCHeading">
    <w:name w:val="TOC Heading"/>
    <w:basedOn w:val="Heading1"/>
    <w:next w:val="Normal"/>
    <w:uiPriority w:val="39"/>
    <w:unhideWhenUsed/>
    <w:qFormat/>
    <w:rsid w:val="00996A44"/>
    <w:pPr>
      <w:spacing w:line="276" w:lineRule="auto"/>
      <w:outlineLvl w:val="9"/>
    </w:pPr>
  </w:style>
  <w:style w:type="character" w:styleId="PlaceholderText">
    <w:name w:val="Placeholder Text"/>
    <w:basedOn w:val="DefaultParagraphFont"/>
    <w:rsid w:val="00114727"/>
    <w:rPr>
      <w:color w:val="808080"/>
    </w:rPr>
  </w:style>
  <w:style w:type="paragraph" w:styleId="Caption">
    <w:name w:val="caption"/>
    <w:basedOn w:val="Normal"/>
    <w:next w:val="Normal"/>
    <w:unhideWhenUsed/>
    <w:qFormat/>
    <w:rsid w:val="004205CA"/>
    <w:pPr>
      <w:spacing w:after="200"/>
    </w:pPr>
    <w:rPr>
      <w:bCs/>
      <w:szCs w:val="18"/>
    </w:rPr>
  </w:style>
  <w:style w:type="paragraph" w:styleId="NoSpacing">
    <w:name w:val="No Spacing"/>
    <w:link w:val="NoSpacingChar"/>
    <w:uiPriority w:val="1"/>
    <w:qFormat/>
    <w:rsid w:val="00327B75"/>
    <w:pPr>
      <w:spacing w:after="0" w:line="240" w:lineRule="auto"/>
    </w:pPr>
    <w:rPr>
      <w:sz w:val="24"/>
      <w:szCs w:val="24"/>
    </w:rPr>
  </w:style>
  <w:style w:type="character" w:customStyle="1" w:styleId="Heading2Char">
    <w:name w:val="Heading 2 Char"/>
    <w:basedOn w:val="DefaultParagraphFont"/>
    <w:link w:val="Heading2"/>
    <w:rsid w:val="00074E0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A7205"/>
    <w:rPr>
      <w:rFonts w:ascii="Times New Roman" w:eastAsiaTheme="majorEastAsia" w:hAnsi="Times New Roman" w:cstheme="majorBidi"/>
      <w:bCs/>
      <w:i/>
      <w:sz w:val="24"/>
      <w:szCs w:val="24"/>
      <w:u w:val="single"/>
    </w:rPr>
  </w:style>
  <w:style w:type="character" w:customStyle="1" w:styleId="Heading4Char">
    <w:name w:val="Heading 4 Char"/>
    <w:basedOn w:val="DefaultParagraphFont"/>
    <w:link w:val="Heading4"/>
    <w:uiPriority w:val="9"/>
    <w:rsid w:val="007057B8"/>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7057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057B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057B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7057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057B8"/>
    <w:rPr>
      <w:rFonts w:asciiTheme="majorHAnsi" w:eastAsiaTheme="majorEastAsia" w:hAnsiTheme="majorHAnsi" w:cstheme="majorBidi"/>
      <w:i/>
      <w:iCs/>
      <w:color w:val="404040" w:themeColor="text1" w:themeTint="BF"/>
      <w:sz w:val="20"/>
      <w:szCs w:val="20"/>
    </w:rPr>
  </w:style>
  <w:style w:type="paragraph" w:customStyle="1" w:styleId="xl65">
    <w:name w:val="xl65"/>
    <w:basedOn w:val="Normal"/>
    <w:rsid w:val="007057B8"/>
    <w:pPr>
      <w:spacing w:beforeLines="1" w:afterLines="1"/>
      <w:jc w:val="center"/>
    </w:pPr>
    <w:rPr>
      <w:rFonts w:ascii="Times" w:hAnsi="Times"/>
      <w:sz w:val="20"/>
      <w:szCs w:val="20"/>
    </w:rPr>
  </w:style>
  <w:style w:type="paragraph" w:customStyle="1" w:styleId="xl66">
    <w:name w:val="xl66"/>
    <w:basedOn w:val="Normal"/>
    <w:rsid w:val="007057B8"/>
    <w:pPr>
      <w:spacing w:beforeLines="1" w:afterLines="1"/>
      <w:jc w:val="center"/>
    </w:pPr>
    <w:rPr>
      <w:rFonts w:ascii="Arial" w:hAnsi="Arial"/>
      <w:b/>
      <w:bCs/>
      <w:sz w:val="20"/>
      <w:szCs w:val="20"/>
    </w:rPr>
  </w:style>
  <w:style w:type="paragraph" w:customStyle="1" w:styleId="xl67">
    <w:name w:val="xl67"/>
    <w:basedOn w:val="Normal"/>
    <w:rsid w:val="007057B8"/>
    <w:pPr>
      <w:pBdr>
        <w:top w:val="single" w:sz="8" w:space="0" w:color="auto"/>
        <w:bottom w:val="single" w:sz="8" w:space="0" w:color="auto"/>
      </w:pBdr>
      <w:spacing w:beforeLines="1" w:afterLines="1"/>
    </w:pPr>
    <w:rPr>
      <w:rFonts w:ascii="Times" w:hAnsi="Times"/>
      <w:sz w:val="20"/>
      <w:szCs w:val="20"/>
    </w:rPr>
  </w:style>
  <w:style w:type="paragraph" w:customStyle="1" w:styleId="xl68">
    <w:name w:val="xl68"/>
    <w:basedOn w:val="Normal"/>
    <w:rsid w:val="007057B8"/>
    <w:pPr>
      <w:pBdr>
        <w:top w:val="single" w:sz="8" w:space="0" w:color="auto"/>
        <w:bottom w:val="single" w:sz="8" w:space="0" w:color="auto"/>
      </w:pBdr>
      <w:spacing w:beforeLines="1" w:afterLines="1"/>
      <w:jc w:val="center"/>
    </w:pPr>
    <w:rPr>
      <w:rFonts w:ascii="Times" w:hAnsi="Times"/>
      <w:sz w:val="20"/>
      <w:szCs w:val="20"/>
    </w:rPr>
  </w:style>
  <w:style w:type="paragraph" w:customStyle="1" w:styleId="xl69">
    <w:name w:val="xl69"/>
    <w:basedOn w:val="Normal"/>
    <w:rsid w:val="007057B8"/>
    <w:pPr>
      <w:pBdr>
        <w:top w:val="single" w:sz="8" w:space="0" w:color="auto"/>
      </w:pBdr>
      <w:spacing w:beforeLines="1" w:afterLines="1"/>
      <w:jc w:val="center"/>
    </w:pPr>
    <w:rPr>
      <w:rFonts w:ascii="Times" w:hAnsi="Times"/>
      <w:sz w:val="20"/>
      <w:szCs w:val="20"/>
    </w:rPr>
  </w:style>
  <w:style w:type="paragraph" w:customStyle="1" w:styleId="xl70">
    <w:name w:val="xl70"/>
    <w:basedOn w:val="Normal"/>
    <w:rsid w:val="007057B8"/>
    <w:pPr>
      <w:pBdr>
        <w:bottom w:val="single" w:sz="8" w:space="0" w:color="auto"/>
      </w:pBdr>
      <w:spacing w:beforeLines="1" w:afterLines="1"/>
      <w:jc w:val="center"/>
    </w:pPr>
    <w:rPr>
      <w:rFonts w:ascii="Times" w:hAnsi="Times"/>
      <w:sz w:val="20"/>
      <w:szCs w:val="20"/>
    </w:rPr>
  </w:style>
  <w:style w:type="paragraph" w:customStyle="1" w:styleId="xl71">
    <w:name w:val="xl71"/>
    <w:basedOn w:val="Normal"/>
    <w:rsid w:val="007057B8"/>
    <w:pPr>
      <w:spacing w:beforeLines="1" w:afterLines="1"/>
      <w:jc w:val="center"/>
      <w:textAlignment w:val="center"/>
    </w:pPr>
    <w:rPr>
      <w:rFonts w:ascii="Times" w:hAnsi="Times"/>
      <w:sz w:val="20"/>
      <w:szCs w:val="20"/>
    </w:rPr>
  </w:style>
  <w:style w:type="paragraph" w:customStyle="1" w:styleId="xl72">
    <w:name w:val="xl72"/>
    <w:basedOn w:val="Normal"/>
    <w:rsid w:val="007057B8"/>
    <w:pPr>
      <w:pBdr>
        <w:top w:val="single" w:sz="8" w:space="0" w:color="auto"/>
        <w:left w:val="single" w:sz="8" w:space="0" w:color="auto"/>
        <w:bottom w:val="single" w:sz="8" w:space="0" w:color="auto"/>
      </w:pBdr>
      <w:spacing w:beforeLines="1" w:afterLines="1"/>
      <w:jc w:val="center"/>
    </w:pPr>
    <w:rPr>
      <w:rFonts w:ascii="Arial" w:hAnsi="Arial"/>
      <w:b/>
      <w:bCs/>
      <w:sz w:val="20"/>
      <w:szCs w:val="20"/>
    </w:rPr>
  </w:style>
  <w:style w:type="paragraph" w:customStyle="1" w:styleId="xl73">
    <w:name w:val="xl73"/>
    <w:basedOn w:val="Normal"/>
    <w:rsid w:val="007057B8"/>
    <w:pPr>
      <w:pBdr>
        <w:bottom w:val="single" w:sz="8" w:space="0" w:color="auto"/>
      </w:pBdr>
      <w:spacing w:beforeLines="1" w:afterLines="1"/>
      <w:jc w:val="center"/>
    </w:pPr>
    <w:rPr>
      <w:rFonts w:ascii="Arial" w:hAnsi="Arial"/>
      <w:b/>
      <w:bCs/>
      <w:sz w:val="20"/>
      <w:szCs w:val="20"/>
    </w:rPr>
  </w:style>
  <w:style w:type="paragraph" w:customStyle="1" w:styleId="xl74">
    <w:name w:val="xl74"/>
    <w:basedOn w:val="Normal"/>
    <w:rsid w:val="007057B8"/>
    <w:pPr>
      <w:pBdr>
        <w:bottom w:val="dashed" w:sz="4" w:space="0" w:color="auto"/>
      </w:pBdr>
      <w:spacing w:beforeLines="1" w:afterLines="1"/>
      <w:jc w:val="center"/>
      <w:textAlignment w:val="center"/>
    </w:pPr>
    <w:rPr>
      <w:rFonts w:ascii="Times" w:hAnsi="Times"/>
      <w:sz w:val="20"/>
      <w:szCs w:val="20"/>
    </w:rPr>
  </w:style>
  <w:style w:type="paragraph" w:customStyle="1" w:styleId="xl75">
    <w:name w:val="xl75"/>
    <w:basedOn w:val="Normal"/>
    <w:rsid w:val="007057B8"/>
    <w:pPr>
      <w:pBdr>
        <w:bottom w:val="dashed" w:sz="4" w:space="0" w:color="auto"/>
      </w:pBdr>
      <w:spacing w:beforeLines="1" w:afterLines="1"/>
      <w:jc w:val="center"/>
    </w:pPr>
    <w:rPr>
      <w:rFonts w:ascii="Times" w:hAnsi="Times"/>
      <w:sz w:val="20"/>
      <w:szCs w:val="20"/>
    </w:rPr>
  </w:style>
  <w:style w:type="paragraph" w:customStyle="1" w:styleId="xl76">
    <w:name w:val="xl76"/>
    <w:basedOn w:val="Normal"/>
    <w:rsid w:val="007057B8"/>
    <w:pPr>
      <w:pBdr>
        <w:top w:val="single" w:sz="8" w:space="0" w:color="auto"/>
        <w:bottom w:val="single" w:sz="8" w:space="0" w:color="auto"/>
      </w:pBdr>
      <w:spacing w:beforeLines="1" w:afterLines="1"/>
      <w:jc w:val="center"/>
    </w:pPr>
    <w:rPr>
      <w:rFonts w:ascii="Arial" w:hAnsi="Arial"/>
      <w:b/>
      <w:bCs/>
      <w:sz w:val="20"/>
      <w:szCs w:val="20"/>
    </w:rPr>
  </w:style>
  <w:style w:type="paragraph" w:customStyle="1" w:styleId="xl77">
    <w:name w:val="xl77"/>
    <w:basedOn w:val="Normal"/>
    <w:rsid w:val="007057B8"/>
    <w:pPr>
      <w:pBdr>
        <w:left w:val="single" w:sz="8" w:space="0" w:color="auto"/>
      </w:pBdr>
      <w:spacing w:beforeLines="1" w:afterLines="1"/>
      <w:jc w:val="center"/>
      <w:textAlignment w:val="center"/>
    </w:pPr>
    <w:rPr>
      <w:rFonts w:ascii="Times" w:hAnsi="Times"/>
      <w:sz w:val="20"/>
      <w:szCs w:val="20"/>
    </w:rPr>
  </w:style>
  <w:style w:type="paragraph" w:customStyle="1" w:styleId="xl78">
    <w:name w:val="xl78"/>
    <w:basedOn w:val="Normal"/>
    <w:rsid w:val="007057B8"/>
    <w:pPr>
      <w:pBdr>
        <w:left w:val="single" w:sz="8" w:space="0" w:color="auto"/>
        <w:bottom w:val="dashed" w:sz="4" w:space="0" w:color="auto"/>
      </w:pBdr>
      <w:spacing w:beforeLines="1" w:afterLines="1"/>
      <w:jc w:val="center"/>
      <w:textAlignment w:val="center"/>
    </w:pPr>
    <w:rPr>
      <w:rFonts w:ascii="Times" w:hAnsi="Times"/>
      <w:sz w:val="20"/>
      <w:szCs w:val="20"/>
    </w:rPr>
  </w:style>
  <w:style w:type="paragraph" w:customStyle="1" w:styleId="xl79">
    <w:name w:val="xl79"/>
    <w:basedOn w:val="Normal"/>
    <w:rsid w:val="007057B8"/>
    <w:pPr>
      <w:pBdr>
        <w:left w:val="single" w:sz="8" w:space="0" w:color="auto"/>
      </w:pBdr>
      <w:spacing w:beforeLines="1" w:afterLines="1"/>
      <w:jc w:val="center"/>
    </w:pPr>
    <w:rPr>
      <w:rFonts w:ascii="Times" w:hAnsi="Times"/>
      <w:sz w:val="20"/>
      <w:szCs w:val="20"/>
    </w:rPr>
  </w:style>
  <w:style w:type="paragraph" w:customStyle="1" w:styleId="xl80">
    <w:name w:val="xl80"/>
    <w:basedOn w:val="Normal"/>
    <w:rsid w:val="007057B8"/>
    <w:pPr>
      <w:pBdr>
        <w:left w:val="single" w:sz="8" w:space="0" w:color="auto"/>
        <w:bottom w:val="single" w:sz="8" w:space="0" w:color="auto"/>
      </w:pBdr>
      <w:spacing w:beforeLines="1" w:afterLines="1"/>
      <w:jc w:val="center"/>
    </w:pPr>
    <w:rPr>
      <w:rFonts w:ascii="Times" w:hAnsi="Times"/>
      <w:sz w:val="20"/>
      <w:szCs w:val="20"/>
    </w:rPr>
  </w:style>
  <w:style w:type="paragraph" w:customStyle="1" w:styleId="xl81">
    <w:name w:val="xl81"/>
    <w:basedOn w:val="Normal"/>
    <w:rsid w:val="007057B8"/>
    <w:pPr>
      <w:pBdr>
        <w:top w:val="single" w:sz="8" w:space="0" w:color="auto"/>
        <w:bottom w:val="single" w:sz="8" w:space="0" w:color="auto"/>
        <w:right w:val="single" w:sz="8" w:space="0" w:color="auto"/>
      </w:pBdr>
      <w:spacing w:beforeLines="1" w:afterLines="1"/>
      <w:jc w:val="center"/>
    </w:pPr>
    <w:rPr>
      <w:rFonts w:ascii="Arial" w:hAnsi="Arial"/>
      <w:b/>
      <w:bCs/>
      <w:sz w:val="20"/>
      <w:szCs w:val="20"/>
    </w:rPr>
  </w:style>
  <w:style w:type="paragraph" w:customStyle="1" w:styleId="xl82">
    <w:name w:val="xl82"/>
    <w:basedOn w:val="Normal"/>
    <w:rsid w:val="007057B8"/>
    <w:pPr>
      <w:pBdr>
        <w:top w:val="single" w:sz="8" w:space="0" w:color="auto"/>
        <w:left w:val="single" w:sz="8" w:space="0" w:color="auto"/>
        <w:bottom w:val="single" w:sz="8" w:space="0" w:color="auto"/>
      </w:pBdr>
      <w:spacing w:beforeLines="1" w:afterLines="1"/>
      <w:jc w:val="center"/>
    </w:pPr>
    <w:rPr>
      <w:rFonts w:ascii="Arial" w:hAnsi="Arial"/>
      <w:b/>
      <w:bCs/>
      <w:sz w:val="20"/>
      <w:szCs w:val="20"/>
    </w:rPr>
  </w:style>
  <w:style w:type="paragraph" w:customStyle="1" w:styleId="xl83">
    <w:name w:val="xl83"/>
    <w:basedOn w:val="Normal"/>
    <w:rsid w:val="007057B8"/>
    <w:pPr>
      <w:pBdr>
        <w:top w:val="single" w:sz="8" w:space="0" w:color="auto"/>
        <w:bottom w:val="single" w:sz="8" w:space="0" w:color="auto"/>
      </w:pBdr>
      <w:spacing w:before="100" w:beforeAutospacing="1" w:after="100" w:afterAutospacing="1"/>
      <w:jc w:val="center"/>
    </w:pPr>
    <w:rPr>
      <w:rFonts w:eastAsia="Times New Roman" w:cs="Times New Roman"/>
      <w:sz w:val="15"/>
      <w:szCs w:val="15"/>
    </w:rPr>
  </w:style>
  <w:style w:type="paragraph" w:customStyle="1" w:styleId="xl84">
    <w:name w:val="xl84"/>
    <w:basedOn w:val="Normal"/>
    <w:rsid w:val="007057B8"/>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5"/>
      <w:szCs w:val="15"/>
    </w:rPr>
  </w:style>
  <w:style w:type="paragraph" w:customStyle="1" w:styleId="xl85">
    <w:name w:val="xl85"/>
    <w:basedOn w:val="Normal"/>
    <w:rsid w:val="007057B8"/>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5"/>
      <w:szCs w:val="15"/>
    </w:rPr>
  </w:style>
  <w:style w:type="paragraph" w:customStyle="1" w:styleId="xl86">
    <w:name w:val="xl86"/>
    <w:basedOn w:val="Normal"/>
    <w:rsid w:val="007057B8"/>
    <w:pPr>
      <w:pBdr>
        <w:top w:val="single" w:sz="8" w:space="0" w:color="auto"/>
        <w:bottom w:val="single" w:sz="8" w:space="0" w:color="auto"/>
      </w:pBdr>
      <w:spacing w:before="100" w:beforeAutospacing="1" w:after="100" w:afterAutospacing="1"/>
      <w:jc w:val="center"/>
    </w:pPr>
    <w:rPr>
      <w:rFonts w:eastAsia="Times New Roman" w:cs="Times New Roman"/>
      <w:sz w:val="15"/>
      <w:szCs w:val="15"/>
    </w:rPr>
  </w:style>
  <w:style w:type="paragraph" w:customStyle="1" w:styleId="xl87">
    <w:name w:val="xl87"/>
    <w:basedOn w:val="Normal"/>
    <w:rsid w:val="007057B8"/>
    <w:pPr>
      <w:pBdr>
        <w:top w:val="single" w:sz="8" w:space="0" w:color="auto"/>
        <w:left w:val="single" w:sz="8" w:space="0" w:color="auto"/>
        <w:bottom w:val="single" w:sz="8" w:space="0" w:color="auto"/>
      </w:pBdr>
      <w:spacing w:before="100" w:beforeAutospacing="1" w:after="100" w:afterAutospacing="1"/>
      <w:jc w:val="center"/>
    </w:pPr>
    <w:rPr>
      <w:rFonts w:eastAsia="Times New Roman" w:cs="Times New Roman"/>
      <w:sz w:val="15"/>
      <w:szCs w:val="15"/>
    </w:rPr>
  </w:style>
  <w:style w:type="paragraph" w:customStyle="1" w:styleId="xl88">
    <w:name w:val="xl88"/>
    <w:basedOn w:val="Normal"/>
    <w:rsid w:val="007057B8"/>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5"/>
      <w:szCs w:val="15"/>
    </w:rPr>
  </w:style>
  <w:style w:type="paragraph" w:styleId="TOC1">
    <w:name w:val="toc 1"/>
    <w:basedOn w:val="Normal"/>
    <w:next w:val="Normal"/>
    <w:autoRedefine/>
    <w:uiPriority w:val="39"/>
    <w:unhideWhenUsed/>
    <w:rsid w:val="007057B8"/>
    <w:pPr>
      <w:spacing w:before="120" w:after="120"/>
    </w:pPr>
    <w:rPr>
      <w:b/>
      <w:bCs/>
      <w:caps/>
      <w:sz w:val="20"/>
      <w:szCs w:val="20"/>
    </w:rPr>
  </w:style>
  <w:style w:type="paragraph" w:styleId="TOC2">
    <w:name w:val="toc 2"/>
    <w:basedOn w:val="Normal"/>
    <w:next w:val="Normal"/>
    <w:autoRedefine/>
    <w:uiPriority w:val="39"/>
    <w:unhideWhenUsed/>
    <w:rsid w:val="007057B8"/>
    <w:pPr>
      <w:ind w:left="240"/>
    </w:pPr>
    <w:rPr>
      <w:smallCaps/>
      <w:sz w:val="20"/>
      <w:szCs w:val="20"/>
    </w:rPr>
  </w:style>
  <w:style w:type="paragraph" w:styleId="TOC3">
    <w:name w:val="toc 3"/>
    <w:basedOn w:val="Normal"/>
    <w:next w:val="Normal"/>
    <w:autoRedefine/>
    <w:uiPriority w:val="39"/>
    <w:unhideWhenUsed/>
    <w:rsid w:val="007057B8"/>
    <w:pPr>
      <w:ind w:left="480"/>
    </w:pPr>
    <w:rPr>
      <w:i/>
      <w:iCs/>
      <w:sz w:val="20"/>
      <w:szCs w:val="20"/>
    </w:rPr>
  </w:style>
  <w:style w:type="paragraph" w:styleId="TOC4">
    <w:name w:val="toc 4"/>
    <w:basedOn w:val="Normal"/>
    <w:next w:val="Normal"/>
    <w:autoRedefine/>
    <w:uiPriority w:val="39"/>
    <w:unhideWhenUsed/>
    <w:rsid w:val="007057B8"/>
    <w:pPr>
      <w:ind w:left="720"/>
    </w:pPr>
    <w:rPr>
      <w:sz w:val="18"/>
      <w:szCs w:val="18"/>
    </w:rPr>
  </w:style>
  <w:style w:type="paragraph" w:styleId="TOC5">
    <w:name w:val="toc 5"/>
    <w:basedOn w:val="Normal"/>
    <w:next w:val="Normal"/>
    <w:autoRedefine/>
    <w:uiPriority w:val="39"/>
    <w:unhideWhenUsed/>
    <w:rsid w:val="007057B8"/>
    <w:pPr>
      <w:ind w:left="960"/>
    </w:pPr>
    <w:rPr>
      <w:sz w:val="18"/>
      <w:szCs w:val="18"/>
    </w:rPr>
  </w:style>
  <w:style w:type="paragraph" w:styleId="TOC6">
    <w:name w:val="toc 6"/>
    <w:basedOn w:val="Normal"/>
    <w:next w:val="Normal"/>
    <w:autoRedefine/>
    <w:uiPriority w:val="39"/>
    <w:unhideWhenUsed/>
    <w:rsid w:val="007057B8"/>
    <w:pPr>
      <w:ind w:left="1200"/>
    </w:pPr>
    <w:rPr>
      <w:sz w:val="18"/>
      <w:szCs w:val="18"/>
    </w:rPr>
  </w:style>
  <w:style w:type="paragraph" w:styleId="TOC7">
    <w:name w:val="toc 7"/>
    <w:basedOn w:val="Normal"/>
    <w:next w:val="Normal"/>
    <w:autoRedefine/>
    <w:uiPriority w:val="39"/>
    <w:unhideWhenUsed/>
    <w:rsid w:val="007057B8"/>
    <w:pPr>
      <w:ind w:left="1440"/>
    </w:pPr>
    <w:rPr>
      <w:sz w:val="18"/>
      <w:szCs w:val="18"/>
    </w:rPr>
  </w:style>
  <w:style w:type="paragraph" w:styleId="TOC8">
    <w:name w:val="toc 8"/>
    <w:basedOn w:val="Normal"/>
    <w:next w:val="Normal"/>
    <w:autoRedefine/>
    <w:uiPriority w:val="39"/>
    <w:unhideWhenUsed/>
    <w:rsid w:val="007057B8"/>
    <w:pPr>
      <w:ind w:left="1680"/>
    </w:pPr>
    <w:rPr>
      <w:sz w:val="18"/>
      <w:szCs w:val="18"/>
    </w:rPr>
  </w:style>
  <w:style w:type="paragraph" w:styleId="TOC9">
    <w:name w:val="toc 9"/>
    <w:basedOn w:val="Normal"/>
    <w:next w:val="Normal"/>
    <w:autoRedefine/>
    <w:uiPriority w:val="39"/>
    <w:unhideWhenUsed/>
    <w:rsid w:val="007057B8"/>
    <w:pPr>
      <w:ind w:left="1920"/>
    </w:pPr>
    <w:rPr>
      <w:sz w:val="18"/>
      <w:szCs w:val="18"/>
    </w:rPr>
  </w:style>
  <w:style w:type="character" w:customStyle="1" w:styleId="EndnoteTextChar">
    <w:name w:val="Endnote Text Char"/>
    <w:basedOn w:val="DefaultParagraphFont"/>
    <w:link w:val="EndnoteText"/>
    <w:uiPriority w:val="99"/>
    <w:semiHidden/>
    <w:rsid w:val="007057B8"/>
    <w:rPr>
      <w:sz w:val="20"/>
      <w:szCs w:val="20"/>
    </w:rPr>
  </w:style>
  <w:style w:type="paragraph" w:styleId="EndnoteText">
    <w:name w:val="endnote text"/>
    <w:basedOn w:val="Normal"/>
    <w:link w:val="EndnoteTextChar"/>
    <w:uiPriority w:val="99"/>
    <w:semiHidden/>
    <w:unhideWhenUsed/>
    <w:rsid w:val="007057B8"/>
    <w:rPr>
      <w:sz w:val="20"/>
      <w:szCs w:val="20"/>
    </w:rPr>
  </w:style>
  <w:style w:type="character" w:customStyle="1" w:styleId="EndnoteTextChar1">
    <w:name w:val="Endnote Text Char1"/>
    <w:basedOn w:val="DefaultParagraphFont"/>
    <w:uiPriority w:val="99"/>
    <w:semiHidden/>
    <w:rsid w:val="007057B8"/>
    <w:rPr>
      <w:sz w:val="20"/>
      <w:szCs w:val="20"/>
    </w:rPr>
  </w:style>
  <w:style w:type="character" w:customStyle="1" w:styleId="NoSpacingChar">
    <w:name w:val="No Spacing Char"/>
    <w:basedOn w:val="DefaultParagraphFont"/>
    <w:link w:val="NoSpacing"/>
    <w:uiPriority w:val="1"/>
    <w:rsid w:val="007057B8"/>
    <w:rPr>
      <w:sz w:val="24"/>
      <w:szCs w:val="24"/>
    </w:rPr>
  </w:style>
  <w:style w:type="table" w:styleId="TableGrid">
    <w:name w:val="Table Grid"/>
    <w:basedOn w:val="TableNormal"/>
    <w:uiPriority w:val="59"/>
    <w:rsid w:val="007057B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53B60"/>
    <w:rPr>
      <w:vertAlign w:val="superscript"/>
    </w:rPr>
  </w:style>
  <w:style w:type="paragraph" w:styleId="TableofFigures">
    <w:name w:val="table of figures"/>
    <w:basedOn w:val="Normal"/>
    <w:next w:val="Normal"/>
    <w:uiPriority w:val="99"/>
    <w:unhideWhenUsed/>
    <w:rsid w:val="00E65BFA"/>
    <w:pPr>
      <w:ind w:left="480" w:hanging="480"/>
    </w:pPr>
    <w:rPr>
      <w:sz w:val="22"/>
      <w:szCs w:val="20"/>
    </w:rPr>
  </w:style>
  <w:style w:type="table" w:customStyle="1" w:styleId="LightShading1">
    <w:name w:val="Light Shading1"/>
    <w:basedOn w:val="TableNormal"/>
    <w:uiPriority w:val="60"/>
    <w:rsid w:val="00581B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6867AF"/>
    <w:pPr>
      <w:pBdr>
        <w:bottom w:val="single" w:sz="8" w:space="4" w:color="4F81BD" w:themeColor="accent1"/>
      </w:pBdr>
      <w:spacing w:after="300"/>
      <w:contextualSpacing/>
      <w:jc w:val="center"/>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6867AF"/>
    <w:rPr>
      <w:rFonts w:asciiTheme="majorHAnsi" w:eastAsiaTheme="majorEastAsia" w:hAnsiTheme="majorHAnsi" w:cstheme="majorBidi"/>
      <w:spacing w:val="5"/>
      <w:kern w:val="28"/>
      <w:sz w:val="44"/>
      <w:szCs w:val="52"/>
    </w:rPr>
  </w:style>
  <w:style w:type="paragraph" w:styleId="DocumentMap">
    <w:name w:val="Document Map"/>
    <w:basedOn w:val="Normal"/>
    <w:link w:val="DocumentMapChar"/>
    <w:uiPriority w:val="99"/>
    <w:semiHidden/>
    <w:unhideWhenUsed/>
    <w:rsid w:val="000E365B"/>
    <w:rPr>
      <w:rFonts w:ascii="Tahoma" w:hAnsi="Tahoma" w:cs="Tahoma"/>
      <w:sz w:val="16"/>
      <w:szCs w:val="16"/>
    </w:rPr>
  </w:style>
  <w:style w:type="character" w:customStyle="1" w:styleId="DocumentMapChar">
    <w:name w:val="Document Map Char"/>
    <w:basedOn w:val="DefaultParagraphFont"/>
    <w:link w:val="DocumentMap"/>
    <w:uiPriority w:val="99"/>
    <w:semiHidden/>
    <w:rsid w:val="000E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0923">
      <w:bodyDiv w:val="1"/>
      <w:marLeft w:val="0"/>
      <w:marRight w:val="0"/>
      <w:marTop w:val="0"/>
      <w:marBottom w:val="0"/>
      <w:divBdr>
        <w:top w:val="none" w:sz="0" w:space="0" w:color="auto"/>
        <w:left w:val="none" w:sz="0" w:space="0" w:color="auto"/>
        <w:bottom w:val="none" w:sz="0" w:space="0" w:color="auto"/>
        <w:right w:val="none" w:sz="0" w:space="0" w:color="auto"/>
      </w:divBdr>
    </w:div>
    <w:div w:id="355811695">
      <w:bodyDiv w:val="1"/>
      <w:marLeft w:val="0"/>
      <w:marRight w:val="0"/>
      <w:marTop w:val="0"/>
      <w:marBottom w:val="0"/>
      <w:divBdr>
        <w:top w:val="none" w:sz="0" w:space="0" w:color="auto"/>
        <w:left w:val="none" w:sz="0" w:space="0" w:color="auto"/>
        <w:bottom w:val="none" w:sz="0" w:space="0" w:color="auto"/>
        <w:right w:val="none" w:sz="0" w:space="0" w:color="auto"/>
      </w:divBdr>
    </w:div>
    <w:div w:id="410666428">
      <w:bodyDiv w:val="1"/>
      <w:marLeft w:val="0"/>
      <w:marRight w:val="0"/>
      <w:marTop w:val="0"/>
      <w:marBottom w:val="0"/>
      <w:divBdr>
        <w:top w:val="none" w:sz="0" w:space="0" w:color="auto"/>
        <w:left w:val="none" w:sz="0" w:space="0" w:color="auto"/>
        <w:bottom w:val="none" w:sz="0" w:space="0" w:color="auto"/>
        <w:right w:val="none" w:sz="0" w:space="0" w:color="auto"/>
      </w:divBdr>
    </w:div>
    <w:div w:id="445852711">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10394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2AA7B-8475-499B-80A1-308D6BD5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111FCD40.dotm</Template>
  <TotalTime>0</TotalTime>
  <Pages>27</Pages>
  <Words>9305</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TEMPORAL ASSESSMENT OF MANAGEMENT PRACTICES AND WATER QUALITY IN THE DUCK CREEK WATERSHED, WISCONSIN.</vt:lpstr>
    </vt:vector>
  </TitlesOfParts>
  <Company>UW-Green Bay</Company>
  <LinksUpToDate>false</LinksUpToDate>
  <CharactersWithSpaces>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TEMPORAL ASSESSMENT OF MANAGEMENT PRACTICES AND WATER QUALITY IN THE DUCK CREEK WATERSHED, WISCONSIN.</dc:title>
  <dc:creator>University of Wisconsin – Green Bay</dc:creator>
  <cp:lastModifiedBy>Baumgart, Paul</cp:lastModifiedBy>
  <cp:revision>2</cp:revision>
  <cp:lastPrinted>2015-02-24T20:22:00Z</cp:lastPrinted>
  <dcterms:created xsi:type="dcterms:W3CDTF">2015-02-24T20:23:00Z</dcterms:created>
  <dcterms:modified xsi:type="dcterms:W3CDTF">2015-02-24T20:23:00Z</dcterms:modified>
</cp:coreProperties>
</file>