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10C" w:rsidRPr="008502A8" w:rsidRDefault="006E210C" w:rsidP="006E210C">
      <w:pPr>
        <w:spacing w:before="100" w:beforeAutospacing="1" w:after="100" w:afterAutospacing="1" w:line="300" w:lineRule="atLeast"/>
        <w:outlineLvl w:val="1"/>
        <w:rPr>
          <w:rFonts w:ascii="Century Gothic" w:hAnsi="Century Gothic"/>
          <w:b/>
          <w:bCs/>
        </w:rPr>
      </w:pPr>
      <w:r w:rsidRPr="008502A8">
        <w:rPr>
          <w:rFonts w:ascii="Century Gothic" w:hAnsi="Century Gothic"/>
          <w:b/>
          <w:bCs/>
        </w:rPr>
        <w:t>Frequently Questioned Purchases</w:t>
      </w:r>
    </w:p>
    <w:p w:rsidR="006E210C" w:rsidRPr="00983FBB" w:rsidRDefault="006E210C" w:rsidP="006E210C">
      <w:pPr>
        <w:spacing w:before="75" w:after="100" w:afterAutospacing="1" w:line="300" w:lineRule="atLeast"/>
        <w:rPr>
          <w:rFonts w:ascii="Century Gothic" w:hAnsi="Century Gothic"/>
          <w:sz w:val="22"/>
          <w:szCs w:val="22"/>
        </w:rPr>
      </w:pPr>
      <w:r w:rsidRPr="00983FBB">
        <w:rPr>
          <w:rFonts w:ascii="Century Gothic" w:hAnsi="Century Gothic"/>
          <w:sz w:val="22"/>
          <w:szCs w:val="22"/>
        </w:rPr>
        <w:t xml:space="preserve">To comply with various policies, statutes, and regulations, departments must obtain prior approval when purchasing certain products and/or services. </w:t>
      </w:r>
    </w:p>
    <w:p w:rsidR="006E210C" w:rsidRPr="008502A8" w:rsidRDefault="006E210C" w:rsidP="006E210C">
      <w:pPr>
        <w:spacing w:before="75" w:after="100" w:afterAutospacing="1" w:line="300" w:lineRule="atLeast"/>
        <w:outlineLvl w:val="3"/>
        <w:rPr>
          <w:rFonts w:ascii="Century Gothic" w:hAnsi="Century Gothic"/>
          <w:b/>
          <w:bCs/>
        </w:rPr>
      </w:pPr>
      <w:bookmarkStart w:id="0" w:name="Alcohol"/>
      <w:bookmarkStart w:id="1" w:name="Appliances"/>
      <w:bookmarkEnd w:id="0"/>
      <w:bookmarkEnd w:id="1"/>
      <w:r w:rsidRPr="008502A8">
        <w:rPr>
          <w:rFonts w:ascii="Century Gothic" w:hAnsi="Century Gothic"/>
          <w:b/>
          <w:bCs/>
        </w:rPr>
        <w:t>Appliances</w:t>
      </w:r>
    </w:p>
    <w:p w:rsidR="006E210C" w:rsidRPr="00983FBB" w:rsidRDefault="006E210C" w:rsidP="006E210C">
      <w:pPr>
        <w:spacing w:before="75" w:after="100" w:afterAutospacing="1" w:line="300" w:lineRule="atLeast"/>
        <w:rPr>
          <w:rFonts w:ascii="Century Gothic" w:hAnsi="Century Gothic"/>
          <w:sz w:val="22"/>
          <w:szCs w:val="22"/>
        </w:rPr>
      </w:pPr>
      <w:r w:rsidRPr="00983FBB">
        <w:rPr>
          <w:rFonts w:ascii="Century Gothic" w:hAnsi="Century Gothic"/>
          <w:sz w:val="22"/>
          <w:szCs w:val="22"/>
        </w:rPr>
        <w:t>Appliances (including refrigerators, microwaves, coffe</w:t>
      </w:r>
      <w:r>
        <w:rPr>
          <w:rFonts w:ascii="Century Gothic" w:hAnsi="Century Gothic"/>
          <w:sz w:val="22"/>
          <w:szCs w:val="22"/>
        </w:rPr>
        <w:t>e makers, toasters</w:t>
      </w:r>
      <w:r w:rsidRPr="00983FBB">
        <w:rPr>
          <w:rFonts w:ascii="Century Gothic" w:hAnsi="Century Gothic"/>
          <w:sz w:val="22"/>
          <w:szCs w:val="22"/>
        </w:rPr>
        <w:t>, etc.) purchased for personal use by UW faculty and staff members are not allowable on the purchasing card. </w:t>
      </w:r>
      <w:r w:rsidRPr="00983FBB">
        <w:rPr>
          <w:rFonts w:ascii="Century Gothic" w:hAnsi="Century Gothic"/>
          <w:b/>
          <w:sz w:val="22"/>
          <w:szCs w:val="22"/>
          <w:u w:val="single"/>
        </w:rPr>
        <w:t>All break room appliances must be purchased with personal funds</w:t>
      </w:r>
      <w:r w:rsidRPr="00983FBB">
        <w:rPr>
          <w:rFonts w:ascii="Century Gothic" w:hAnsi="Century Gothic"/>
          <w:sz w:val="22"/>
          <w:szCs w:val="22"/>
          <w:u w:val="single"/>
        </w:rPr>
        <w:t>.</w:t>
      </w:r>
      <w:r w:rsidRPr="00983FBB">
        <w:rPr>
          <w:rFonts w:ascii="Century Gothic" w:hAnsi="Century Gothic"/>
          <w:sz w:val="22"/>
          <w:szCs w:val="22"/>
        </w:rPr>
        <w:t xml:space="preserve">  </w:t>
      </w:r>
    </w:p>
    <w:p w:rsidR="006E210C" w:rsidRPr="008502A8" w:rsidRDefault="006E210C" w:rsidP="006E210C">
      <w:pPr>
        <w:spacing w:before="75" w:after="100" w:afterAutospacing="1" w:line="300" w:lineRule="atLeast"/>
        <w:outlineLvl w:val="3"/>
        <w:rPr>
          <w:rFonts w:ascii="Century Gothic" w:hAnsi="Century Gothic"/>
          <w:b/>
          <w:bCs/>
        </w:rPr>
      </w:pPr>
      <w:bookmarkStart w:id="2" w:name="awards"/>
      <w:bookmarkEnd w:id="2"/>
      <w:r w:rsidRPr="008502A8">
        <w:rPr>
          <w:rFonts w:ascii="Century Gothic" w:hAnsi="Century Gothic"/>
          <w:b/>
          <w:bCs/>
        </w:rPr>
        <w:t>Awards</w:t>
      </w:r>
    </w:p>
    <w:p w:rsidR="006E210C" w:rsidRPr="00983FBB" w:rsidRDefault="006E210C" w:rsidP="006E210C">
      <w:pPr>
        <w:spacing w:before="75" w:after="100" w:afterAutospacing="1" w:line="300" w:lineRule="atLeast"/>
        <w:rPr>
          <w:rFonts w:ascii="Century Gothic" w:hAnsi="Century Gothic"/>
          <w:sz w:val="22"/>
          <w:szCs w:val="22"/>
        </w:rPr>
      </w:pPr>
      <w:r w:rsidRPr="00983FBB">
        <w:rPr>
          <w:rFonts w:ascii="Century Gothic" w:hAnsi="Century Gothic"/>
          <w:sz w:val="22"/>
          <w:szCs w:val="22"/>
        </w:rPr>
        <w:t>Awards are something of value conveyed as a result of competition, merit, or in recognition of service to the institution on the part of the recipient. Examples include awards to recognize student achievements, service awards to recognize members of the community, and non</w:t>
      </w:r>
      <w:r w:rsidRPr="00983FBB">
        <w:rPr>
          <w:rFonts w:ascii="Century Gothic" w:hAnsi="Century Gothic"/>
          <w:sz w:val="22"/>
          <w:szCs w:val="22"/>
        </w:rPr>
        <w:noBreakHyphen/>
        <w:t xml:space="preserve">cash awards to recognize employees for distinguished service upon retirement or career milestones. Awards to employees cannot exceed $100.00. The use of gift funds is preferred for all award purchases. GPR funds may be used only for awards such as certificates and plaques that have no intrinsic value or a minimal value if the item bears the University logo. No cash awards are allowed. Awards meeting the above definition are allowable on the purchasing card.    </w:t>
      </w:r>
    </w:p>
    <w:p w:rsidR="006E210C" w:rsidRPr="008502A8" w:rsidRDefault="006E210C" w:rsidP="006E210C">
      <w:pPr>
        <w:spacing w:before="75" w:after="100" w:afterAutospacing="1" w:line="300" w:lineRule="atLeast"/>
        <w:outlineLvl w:val="3"/>
        <w:rPr>
          <w:rFonts w:ascii="Century Gothic" w:hAnsi="Century Gothic"/>
          <w:b/>
          <w:bCs/>
        </w:rPr>
      </w:pPr>
      <w:bookmarkStart w:id="3" w:name="CapitalEquipmentPurchases"/>
      <w:bookmarkEnd w:id="3"/>
      <w:r w:rsidRPr="008502A8">
        <w:rPr>
          <w:rFonts w:ascii="Century Gothic" w:hAnsi="Century Gothic"/>
          <w:b/>
          <w:bCs/>
        </w:rPr>
        <w:t>Capital Equipment Purchases</w:t>
      </w:r>
    </w:p>
    <w:p w:rsidR="006E210C" w:rsidRPr="00983FBB" w:rsidRDefault="006E210C" w:rsidP="006E210C">
      <w:pPr>
        <w:spacing w:before="75" w:after="100" w:afterAutospacing="1" w:line="300" w:lineRule="atLeast"/>
        <w:rPr>
          <w:rFonts w:ascii="Century Gothic" w:hAnsi="Century Gothic"/>
          <w:sz w:val="22"/>
          <w:szCs w:val="22"/>
        </w:rPr>
      </w:pPr>
      <w:r w:rsidRPr="00983FBB">
        <w:rPr>
          <w:rFonts w:ascii="Century Gothic" w:hAnsi="Century Gothic"/>
          <w:sz w:val="22"/>
          <w:szCs w:val="22"/>
        </w:rPr>
        <w:t>Capital Equipment and capital equipment components must be purchased using a purchase order entered into the Shared Financial System.  Failure to follow the proper procedures compromises the integrity of the Capital Equ</w:t>
      </w:r>
      <w:r>
        <w:rPr>
          <w:rFonts w:ascii="Century Gothic" w:hAnsi="Century Gothic"/>
          <w:sz w:val="22"/>
          <w:szCs w:val="22"/>
        </w:rPr>
        <w:t>ipment tracking system in SFS and under-reports the University’s assets.</w:t>
      </w:r>
    </w:p>
    <w:p w:rsidR="006E210C" w:rsidRPr="008502A8" w:rsidRDefault="006E210C" w:rsidP="006E210C">
      <w:pPr>
        <w:spacing w:before="75" w:after="100" w:afterAutospacing="1" w:line="300" w:lineRule="atLeast"/>
        <w:outlineLvl w:val="3"/>
        <w:rPr>
          <w:rFonts w:ascii="Century Gothic" w:hAnsi="Century Gothic"/>
          <w:b/>
          <w:bCs/>
        </w:rPr>
      </w:pPr>
      <w:bookmarkStart w:id="4" w:name="Catering"/>
      <w:bookmarkEnd w:id="4"/>
      <w:r w:rsidRPr="008502A8">
        <w:rPr>
          <w:rFonts w:ascii="Century Gothic" w:hAnsi="Century Gothic"/>
          <w:b/>
          <w:bCs/>
        </w:rPr>
        <w:t>Catering</w:t>
      </w:r>
    </w:p>
    <w:p w:rsidR="006E210C" w:rsidRDefault="006E210C" w:rsidP="006E210C">
      <w:pPr>
        <w:spacing w:before="75" w:after="100" w:afterAutospacing="1" w:line="300" w:lineRule="atLeast"/>
        <w:rPr>
          <w:rFonts w:ascii="Century Gothic" w:hAnsi="Century Gothic"/>
          <w:b/>
          <w:bCs/>
        </w:rPr>
      </w:pPr>
      <w:r w:rsidRPr="00983FBB">
        <w:rPr>
          <w:rFonts w:ascii="Century Gothic" w:hAnsi="Century Gothic"/>
          <w:sz w:val="22"/>
          <w:szCs w:val="22"/>
        </w:rPr>
        <w:t xml:space="preserve">The decision to have food at a UW event, either on or off campus, presents a number of concerns including the safe and proper handling of the food, adequate insurance coverage and business procedures that meet the purchasing and accounting processing requirements. The University has established written policies that must be followed when catering food. The guidelines can be found at the following website address:  </w:t>
      </w:r>
      <w:hyperlink r:id="rId6" w:history="1">
        <w:r w:rsidRPr="00983FBB">
          <w:rPr>
            <w:rStyle w:val="Hyperlink"/>
            <w:rFonts w:ascii="Century Gothic" w:hAnsi="Century Gothic"/>
            <w:sz w:val="22"/>
            <w:szCs w:val="22"/>
          </w:rPr>
          <w:t>http://www.uwgb.edu/controller/forms/</w:t>
        </w:r>
      </w:hyperlink>
      <w:bookmarkStart w:id="5" w:name="CellPhones"/>
      <w:bookmarkStart w:id="6" w:name="Copiers"/>
      <w:bookmarkEnd w:id="5"/>
      <w:bookmarkEnd w:id="6"/>
    </w:p>
    <w:p w:rsidR="006E210C" w:rsidRPr="008502A8" w:rsidRDefault="006E210C" w:rsidP="006E210C">
      <w:pPr>
        <w:spacing w:before="75" w:after="100" w:afterAutospacing="1" w:line="300" w:lineRule="atLeast"/>
        <w:outlineLvl w:val="3"/>
        <w:rPr>
          <w:rFonts w:ascii="Century Gothic" w:hAnsi="Century Gothic"/>
          <w:b/>
          <w:bCs/>
        </w:rPr>
      </w:pPr>
      <w:r w:rsidRPr="008502A8">
        <w:rPr>
          <w:rFonts w:ascii="Century Gothic" w:hAnsi="Century Gothic"/>
          <w:b/>
          <w:bCs/>
        </w:rPr>
        <w:t>Copiers</w:t>
      </w:r>
    </w:p>
    <w:p w:rsidR="006E210C" w:rsidRDefault="006E210C" w:rsidP="006E210C">
      <w:pPr>
        <w:spacing w:before="75" w:after="100" w:afterAutospacing="1" w:line="300" w:lineRule="atLeast"/>
        <w:rPr>
          <w:rFonts w:ascii="Century Gothic" w:hAnsi="Century Gothic"/>
          <w:sz w:val="22"/>
          <w:szCs w:val="22"/>
        </w:rPr>
      </w:pPr>
      <w:r w:rsidRPr="00983FBB">
        <w:rPr>
          <w:rFonts w:ascii="Century Gothic" w:hAnsi="Century Gothic"/>
          <w:sz w:val="22"/>
          <w:szCs w:val="22"/>
        </w:rPr>
        <w:t>The state contract for copy machines is a mandatory contract. All copying needs are to be addressed through the Purchasing Office.</w:t>
      </w:r>
    </w:p>
    <w:p w:rsidR="006E210C" w:rsidRPr="00983FBB" w:rsidRDefault="006E210C" w:rsidP="006E210C">
      <w:pPr>
        <w:spacing w:before="75" w:after="100" w:afterAutospacing="1" w:line="300" w:lineRule="atLeast"/>
        <w:rPr>
          <w:rFonts w:ascii="Century Gothic" w:hAnsi="Century Gothic"/>
          <w:sz w:val="22"/>
          <w:szCs w:val="22"/>
        </w:rPr>
      </w:pPr>
    </w:p>
    <w:p w:rsidR="006E210C" w:rsidRPr="008502A8" w:rsidRDefault="006E210C" w:rsidP="006E210C">
      <w:pPr>
        <w:spacing w:before="75" w:after="100" w:afterAutospacing="1" w:line="300" w:lineRule="atLeast"/>
        <w:outlineLvl w:val="3"/>
        <w:rPr>
          <w:rFonts w:ascii="Century Gothic" w:hAnsi="Century Gothic"/>
          <w:b/>
          <w:bCs/>
        </w:rPr>
      </w:pPr>
      <w:bookmarkStart w:id="7" w:name="Fines"/>
      <w:bookmarkEnd w:id="7"/>
      <w:r w:rsidRPr="008502A8">
        <w:rPr>
          <w:rFonts w:ascii="Century Gothic" w:hAnsi="Century Gothic"/>
          <w:b/>
          <w:bCs/>
        </w:rPr>
        <w:t>Fines</w:t>
      </w:r>
    </w:p>
    <w:p w:rsidR="006E210C" w:rsidRPr="00983FBB" w:rsidRDefault="006E210C" w:rsidP="006E210C">
      <w:pPr>
        <w:spacing w:before="75" w:after="100" w:afterAutospacing="1" w:line="300" w:lineRule="atLeast"/>
        <w:rPr>
          <w:rFonts w:ascii="Century Gothic" w:hAnsi="Century Gothic"/>
          <w:sz w:val="22"/>
          <w:szCs w:val="22"/>
        </w:rPr>
      </w:pPr>
      <w:r w:rsidRPr="00983FBB">
        <w:rPr>
          <w:rFonts w:ascii="Century Gothic" w:hAnsi="Century Gothic"/>
          <w:sz w:val="22"/>
          <w:szCs w:val="22"/>
        </w:rPr>
        <w:t xml:space="preserve">Fines, </w:t>
      </w:r>
      <w:r>
        <w:rPr>
          <w:rFonts w:ascii="Century Gothic" w:hAnsi="Century Gothic"/>
          <w:sz w:val="22"/>
          <w:szCs w:val="22"/>
        </w:rPr>
        <w:t>including parking tickets on or</w:t>
      </w:r>
      <w:r w:rsidRPr="00983FBB">
        <w:rPr>
          <w:rFonts w:ascii="Century Gothic" w:hAnsi="Century Gothic"/>
          <w:sz w:val="22"/>
          <w:szCs w:val="22"/>
        </w:rPr>
        <w:t xml:space="preserve"> off campus, are not payable on the Purchasing card.</w:t>
      </w:r>
    </w:p>
    <w:p w:rsidR="006E210C" w:rsidRPr="008502A8" w:rsidRDefault="006E210C" w:rsidP="006E210C">
      <w:pPr>
        <w:spacing w:before="75" w:after="100" w:afterAutospacing="1" w:line="300" w:lineRule="atLeast"/>
        <w:outlineLvl w:val="3"/>
        <w:rPr>
          <w:rFonts w:ascii="Century Gothic" w:hAnsi="Century Gothic"/>
          <w:b/>
          <w:bCs/>
        </w:rPr>
      </w:pPr>
      <w:bookmarkStart w:id="8" w:name="FlowersDecorativeItems"/>
      <w:bookmarkEnd w:id="8"/>
      <w:r w:rsidRPr="008502A8">
        <w:rPr>
          <w:rFonts w:ascii="Century Gothic" w:hAnsi="Century Gothic"/>
          <w:b/>
          <w:bCs/>
        </w:rPr>
        <w:t>Flowers/Decorative Items</w:t>
      </w:r>
    </w:p>
    <w:p w:rsidR="006E210C" w:rsidRPr="00983FBB" w:rsidRDefault="006E210C" w:rsidP="006E210C">
      <w:pPr>
        <w:spacing w:before="75" w:after="100" w:afterAutospacing="1" w:line="300" w:lineRule="atLeast"/>
        <w:rPr>
          <w:rFonts w:ascii="Century Gothic" w:hAnsi="Century Gothic"/>
          <w:sz w:val="22"/>
          <w:szCs w:val="22"/>
        </w:rPr>
      </w:pPr>
      <w:r w:rsidRPr="00983FBB">
        <w:rPr>
          <w:rFonts w:ascii="Century Gothic" w:hAnsi="Century Gothic"/>
          <w:sz w:val="22"/>
          <w:szCs w:val="22"/>
        </w:rPr>
        <w:t>The purchase of decorative items (plants, paintings, flowers, etc.) from University-administered funds is allowable only if the items are placed in a general reception area frequented by students and/or the general public. Additionally, decorative items may be purchased for an event if the participant’s fees cover payment for the items. The purchase of items placed in employee lounges, assigned offices or other work areas are not allowable on the card.</w:t>
      </w:r>
    </w:p>
    <w:p w:rsidR="006E210C" w:rsidRPr="008502A8" w:rsidRDefault="006E210C" w:rsidP="006E210C">
      <w:pPr>
        <w:spacing w:before="75" w:after="100" w:afterAutospacing="1" w:line="300" w:lineRule="atLeast"/>
        <w:outlineLvl w:val="3"/>
        <w:rPr>
          <w:rFonts w:ascii="Century Gothic" w:hAnsi="Century Gothic"/>
          <w:b/>
          <w:bCs/>
        </w:rPr>
      </w:pPr>
      <w:bookmarkStart w:id="9" w:name="FoodPurchases"/>
      <w:bookmarkEnd w:id="9"/>
      <w:r w:rsidRPr="008502A8">
        <w:rPr>
          <w:rFonts w:ascii="Century Gothic" w:hAnsi="Century Gothic"/>
          <w:b/>
          <w:bCs/>
        </w:rPr>
        <w:t>Food Purchases</w:t>
      </w:r>
    </w:p>
    <w:p w:rsidR="006E210C" w:rsidRPr="00983FBB" w:rsidRDefault="006E210C" w:rsidP="006E210C">
      <w:pPr>
        <w:spacing w:before="75" w:after="100" w:afterAutospacing="1" w:line="300" w:lineRule="atLeast"/>
        <w:rPr>
          <w:rFonts w:ascii="Century Gothic" w:hAnsi="Century Gothic"/>
          <w:sz w:val="22"/>
          <w:szCs w:val="22"/>
        </w:rPr>
      </w:pPr>
      <w:r w:rsidRPr="00983FBB">
        <w:rPr>
          <w:rFonts w:ascii="Century Gothic" w:hAnsi="Century Gothic"/>
          <w:sz w:val="22"/>
          <w:szCs w:val="22"/>
        </w:rPr>
        <w:t xml:space="preserve">Individual meals are not payable using the card. </w:t>
      </w:r>
    </w:p>
    <w:p w:rsidR="006E210C" w:rsidRPr="008502A8" w:rsidRDefault="006E210C" w:rsidP="006E210C">
      <w:pPr>
        <w:spacing w:before="75" w:after="100" w:afterAutospacing="1" w:line="300" w:lineRule="atLeast"/>
        <w:outlineLvl w:val="3"/>
        <w:rPr>
          <w:rFonts w:ascii="Century Gothic" w:hAnsi="Century Gothic"/>
          <w:b/>
          <w:bCs/>
        </w:rPr>
      </w:pPr>
      <w:bookmarkStart w:id="10" w:name="Fuels"/>
      <w:bookmarkEnd w:id="10"/>
      <w:r w:rsidRPr="008502A8">
        <w:rPr>
          <w:rFonts w:ascii="Century Gothic" w:hAnsi="Century Gothic"/>
          <w:b/>
          <w:bCs/>
        </w:rPr>
        <w:t>Fuels</w:t>
      </w:r>
    </w:p>
    <w:p w:rsidR="006E210C" w:rsidRPr="00983FBB" w:rsidRDefault="006E210C" w:rsidP="006E210C">
      <w:pPr>
        <w:spacing w:before="75" w:after="100" w:afterAutospacing="1" w:line="300" w:lineRule="atLeast"/>
        <w:rPr>
          <w:rFonts w:ascii="Century Gothic" w:hAnsi="Century Gothic"/>
          <w:sz w:val="22"/>
          <w:szCs w:val="22"/>
        </w:rPr>
      </w:pPr>
      <w:r w:rsidRPr="00983FBB">
        <w:rPr>
          <w:rFonts w:ascii="Century Gothic" w:hAnsi="Century Gothic"/>
          <w:sz w:val="22"/>
          <w:szCs w:val="22"/>
        </w:rPr>
        <w:t xml:space="preserve">External reporting requirements do not allow for the purchase of gasoline on the card; however, gasoline for a rental vehicle is acceptable. </w:t>
      </w:r>
      <w:r>
        <w:rPr>
          <w:rFonts w:ascii="Century Gothic" w:hAnsi="Century Gothic"/>
          <w:sz w:val="22"/>
          <w:szCs w:val="22"/>
        </w:rPr>
        <w:t xml:space="preserve">The card cannot be used for </w:t>
      </w:r>
      <w:r w:rsidRPr="00983FBB">
        <w:rPr>
          <w:rFonts w:ascii="Century Gothic" w:hAnsi="Century Gothic"/>
          <w:sz w:val="22"/>
          <w:szCs w:val="22"/>
        </w:rPr>
        <w:t xml:space="preserve">fleet </w:t>
      </w:r>
      <w:r>
        <w:rPr>
          <w:rFonts w:ascii="Century Gothic" w:hAnsi="Century Gothic"/>
          <w:sz w:val="22"/>
          <w:szCs w:val="22"/>
        </w:rPr>
        <w:t xml:space="preserve">vehicle </w:t>
      </w:r>
      <w:r w:rsidRPr="00983FBB">
        <w:rPr>
          <w:rFonts w:ascii="Century Gothic" w:hAnsi="Century Gothic"/>
          <w:sz w:val="22"/>
          <w:szCs w:val="22"/>
        </w:rPr>
        <w:t>fuel purchases. The Voyager Card is provided for</w:t>
      </w:r>
      <w:r>
        <w:rPr>
          <w:rFonts w:ascii="Century Gothic" w:hAnsi="Century Gothic"/>
          <w:sz w:val="22"/>
          <w:szCs w:val="22"/>
        </w:rPr>
        <w:t xml:space="preserve"> individuals driving fleet vehicles</w:t>
      </w:r>
      <w:r w:rsidRPr="00983FBB">
        <w:rPr>
          <w:rFonts w:ascii="Century Gothic" w:hAnsi="Century Gothic"/>
          <w:sz w:val="22"/>
          <w:szCs w:val="22"/>
        </w:rPr>
        <w:t>. Fuel purchases for personal vehicles used in lieu of fleet vehicles are included in the established mileage reimbursement rate and as a result are not payable on the card.</w:t>
      </w:r>
    </w:p>
    <w:p w:rsidR="006E210C" w:rsidRPr="008502A8" w:rsidRDefault="006E210C" w:rsidP="006E210C">
      <w:pPr>
        <w:spacing w:before="75" w:after="100" w:afterAutospacing="1" w:line="300" w:lineRule="atLeast"/>
        <w:outlineLvl w:val="3"/>
        <w:rPr>
          <w:rFonts w:ascii="Century Gothic" w:hAnsi="Century Gothic"/>
          <w:b/>
          <w:bCs/>
        </w:rPr>
      </w:pPr>
      <w:bookmarkStart w:id="11" w:name="Gifts"/>
      <w:bookmarkEnd w:id="11"/>
      <w:r w:rsidRPr="008502A8">
        <w:rPr>
          <w:rFonts w:ascii="Century Gothic" w:hAnsi="Century Gothic"/>
          <w:b/>
          <w:bCs/>
        </w:rPr>
        <w:t xml:space="preserve">Gifts </w:t>
      </w:r>
    </w:p>
    <w:p w:rsidR="006E210C" w:rsidRPr="00983FBB" w:rsidRDefault="006E210C" w:rsidP="006E210C">
      <w:pPr>
        <w:spacing w:before="75" w:after="100" w:afterAutospacing="1" w:line="300" w:lineRule="atLeast"/>
        <w:rPr>
          <w:rFonts w:ascii="Century Gothic" w:hAnsi="Century Gothic"/>
          <w:sz w:val="22"/>
          <w:szCs w:val="22"/>
        </w:rPr>
      </w:pPr>
      <w:r w:rsidRPr="00983FBB">
        <w:rPr>
          <w:rFonts w:ascii="Century Gothic" w:hAnsi="Century Gothic"/>
          <w:sz w:val="22"/>
          <w:szCs w:val="22"/>
        </w:rPr>
        <w:t>Gifts are a voluntary conveyance of something of value as a gesture of goodwill or appreciation. Gifts from program revenue sources may be given in the following circumstances: 1) to distinguished visitors to campus; 2) to foreign nationals when University personnel are visiting other countries and gifts are necessary, customary and reasonable in cost; or, 3) to recognize contributions of time or funding support by members of the public. Gifts meeting the above criteria are allowable on the card. Gifts of any kind, to an employee, are not allowable on the card.</w:t>
      </w:r>
    </w:p>
    <w:p w:rsidR="006E210C" w:rsidRPr="008502A8" w:rsidRDefault="006E210C" w:rsidP="006E210C">
      <w:pPr>
        <w:spacing w:before="75" w:after="100" w:afterAutospacing="1" w:line="300" w:lineRule="atLeast"/>
        <w:outlineLvl w:val="3"/>
        <w:rPr>
          <w:rFonts w:ascii="Century Gothic" w:hAnsi="Century Gothic"/>
          <w:b/>
          <w:bCs/>
        </w:rPr>
      </w:pPr>
      <w:bookmarkStart w:id="12" w:name="GiftCards"/>
      <w:bookmarkEnd w:id="12"/>
      <w:r w:rsidRPr="008502A8">
        <w:rPr>
          <w:rFonts w:ascii="Century Gothic" w:hAnsi="Century Gothic"/>
          <w:b/>
          <w:bCs/>
        </w:rPr>
        <w:t>Gift Cards</w:t>
      </w:r>
    </w:p>
    <w:p w:rsidR="006E210C" w:rsidRPr="00266A7C" w:rsidRDefault="006E210C" w:rsidP="006E210C">
      <w:pPr>
        <w:spacing w:before="75" w:after="100" w:afterAutospacing="1" w:line="300" w:lineRule="atLeast"/>
        <w:rPr>
          <w:rFonts w:ascii="Century Gothic" w:hAnsi="Century Gothic"/>
          <w:sz w:val="22"/>
          <w:szCs w:val="22"/>
        </w:rPr>
      </w:pPr>
      <w:r w:rsidRPr="00266A7C">
        <w:rPr>
          <w:rFonts w:ascii="Century Gothic" w:hAnsi="Century Gothic"/>
          <w:sz w:val="22"/>
          <w:szCs w:val="22"/>
        </w:rPr>
        <w:t xml:space="preserve">Purchasing cards are not to be used to purchase gift cards, in lieu of cash for services or as an acknowledgement. Per the Internal Revenue Service (IRS), gift cards are </w:t>
      </w:r>
      <w:r w:rsidRPr="00266A7C">
        <w:rPr>
          <w:rFonts w:ascii="Century Gothic" w:hAnsi="Century Gothic"/>
          <w:sz w:val="22"/>
          <w:szCs w:val="22"/>
        </w:rPr>
        <w:lastRenderedPageBreak/>
        <w:t xml:space="preserve">considered equivalent to cash and are therefore handled as tax reportable payments to individuals. </w:t>
      </w:r>
    </w:p>
    <w:p w:rsidR="006E210C" w:rsidRPr="008502A8" w:rsidRDefault="006E210C" w:rsidP="006E210C">
      <w:pPr>
        <w:spacing w:before="75" w:after="100" w:afterAutospacing="1" w:line="300" w:lineRule="atLeast"/>
        <w:outlineLvl w:val="3"/>
        <w:rPr>
          <w:rFonts w:ascii="Century Gothic" w:hAnsi="Century Gothic"/>
          <w:b/>
          <w:bCs/>
        </w:rPr>
      </w:pPr>
      <w:bookmarkStart w:id="13" w:name="Gratuity"/>
      <w:bookmarkStart w:id="14" w:name="GreetingCards"/>
      <w:bookmarkEnd w:id="13"/>
      <w:bookmarkEnd w:id="14"/>
      <w:r w:rsidRPr="008502A8">
        <w:rPr>
          <w:rFonts w:ascii="Century Gothic" w:hAnsi="Century Gothic"/>
          <w:b/>
          <w:bCs/>
        </w:rPr>
        <w:t>Greeting Cards</w:t>
      </w:r>
    </w:p>
    <w:p w:rsidR="006E210C" w:rsidRPr="00266A7C" w:rsidRDefault="006E210C" w:rsidP="006E210C">
      <w:pPr>
        <w:spacing w:before="75" w:after="100" w:afterAutospacing="1" w:line="300" w:lineRule="atLeast"/>
        <w:rPr>
          <w:rFonts w:ascii="Century Gothic" w:hAnsi="Century Gothic"/>
          <w:sz w:val="22"/>
          <w:szCs w:val="22"/>
        </w:rPr>
      </w:pPr>
      <w:r w:rsidRPr="00266A7C">
        <w:rPr>
          <w:rFonts w:ascii="Century Gothic" w:hAnsi="Century Gothic"/>
          <w:sz w:val="22"/>
          <w:szCs w:val="22"/>
        </w:rPr>
        <w:t>Greeting cards of any nature are not allowable on the card.</w:t>
      </w:r>
    </w:p>
    <w:p w:rsidR="006E210C" w:rsidRPr="008502A8" w:rsidRDefault="006E210C" w:rsidP="006E210C">
      <w:pPr>
        <w:spacing w:before="75" w:after="100" w:afterAutospacing="1" w:line="300" w:lineRule="atLeast"/>
        <w:outlineLvl w:val="3"/>
        <w:rPr>
          <w:rFonts w:ascii="Century Gothic" w:hAnsi="Century Gothic"/>
          <w:b/>
          <w:bCs/>
        </w:rPr>
      </w:pPr>
      <w:bookmarkStart w:id="15" w:name="IneligibleVendors"/>
      <w:bookmarkEnd w:id="15"/>
      <w:r w:rsidRPr="008502A8">
        <w:rPr>
          <w:rFonts w:ascii="Century Gothic" w:hAnsi="Century Gothic"/>
          <w:b/>
          <w:bCs/>
        </w:rPr>
        <w:t>Ineligible Vendors</w:t>
      </w:r>
    </w:p>
    <w:p w:rsidR="006E210C" w:rsidRPr="00266A7C" w:rsidRDefault="006E210C" w:rsidP="006E210C">
      <w:pPr>
        <w:spacing w:before="75" w:after="100" w:afterAutospacing="1" w:line="300" w:lineRule="atLeast"/>
        <w:rPr>
          <w:rFonts w:ascii="Century Gothic" w:hAnsi="Century Gothic"/>
          <w:sz w:val="22"/>
          <w:szCs w:val="22"/>
        </w:rPr>
      </w:pPr>
      <w:r w:rsidRPr="00266A7C">
        <w:rPr>
          <w:rFonts w:ascii="Century Gothic" w:hAnsi="Century Gothic"/>
          <w:sz w:val="22"/>
          <w:szCs w:val="22"/>
        </w:rPr>
        <w:t>A vendor’s eligibility to do business with the University is contingent upon their compliance with s.16.765, Wis. Stats., which imposes requirements for affirmative action employment. Each vendor must also comply with s.77.66, Wis. Stats., tax laws. Cardholders should reference our website for the most current Ineligible Vendo</w:t>
      </w:r>
      <w:r w:rsidRPr="00266A7C">
        <w:rPr>
          <w:rFonts w:ascii="Century Gothic" w:hAnsi="Century Gothic"/>
          <w:sz w:val="22"/>
          <w:szCs w:val="22"/>
        </w:rPr>
        <w:t>r</w:t>
      </w:r>
      <w:r w:rsidRPr="00266A7C">
        <w:rPr>
          <w:rFonts w:ascii="Century Gothic" w:hAnsi="Century Gothic"/>
          <w:sz w:val="22"/>
          <w:szCs w:val="22"/>
        </w:rPr>
        <w:t xml:space="preserve"> Lists.</w:t>
      </w:r>
    </w:p>
    <w:p w:rsidR="006E210C" w:rsidRPr="00266A7C" w:rsidRDefault="006E210C" w:rsidP="006E210C">
      <w:pPr>
        <w:numPr>
          <w:ilvl w:val="0"/>
          <w:numId w:val="1"/>
        </w:numPr>
        <w:spacing w:before="100" w:beforeAutospacing="1" w:after="100" w:afterAutospacing="1" w:line="300" w:lineRule="atLeast"/>
        <w:ind w:left="722"/>
        <w:rPr>
          <w:rFonts w:ascii="Century Gothic" w:hAnsi="Century Gothic"/>
          <w:sz w:val="22"/>
          <w:szCs w:val="22"/>
        </w:rPr>
      </w:pPr>
      <w:hyperlink r:id="rId7" w:history="1">
        <w:r w:rsidRPr="00266A7C">
          <w:rPr>
            <w:rStyle w:val="Hyperlink"/>
            <w:rFonts w:ascii="Century Gothic" w:hAnsi="Century Gothic"/>
            <w:sz w:val="22"/>
            <w:szCs w:val="22"/>
          </w:rPr>
          <w:t>Affi</w:t>
        </w:r>
        <w:r w:rsidRPr="00266A7C">
          <w:rPr>
            <w:rStyle w:val="Hyperlink"/>
            <w:rFonts w:ascii="Century Gothic" w:hAnsi="Century Gothic"/>
            <w:sz w:val="22"/>
            <w:szCs w:val="22"/>
          </w:rPr>
          <w:t>r</w:t>
        </w:r>
        <w:r w:rsidRPr="00266A7C">
          <w:rPr>
            <w:rStyle w:val="Hyperlink"/>
            <w:rFonts w:ascii="Century Gothic" w:hAnsi="Century Gothic"/>
            <w:sz w:val="22"/>
            <w:szCs w:val="22"/>
          </w:rPr>
          <w:t>mative Action Ineligible Ven</w:t>
        </w:r>
        <w:r w:rsidRPr="00266A7C">
          <w:rPr>
            <w:rStyle w:val="Hyperlink"/>
            <w:rFonts w:ascii="Century Gothic" w:hAnsi="Century Gothic"/>
            <w:sz w:val="22"/>
            <w:szCs w:val="22"/>
          </w:rPr>
          <w:t>d</w:t>
        </w:r>
        <w:r w:rsidRPr="00266A7C">
          <w:rPr>
            <w:rStyle w:val="Hyperlink"/>
            <w:rFonts w:ascii="Century Gothic" w:hAnsi="Century Gothic"/>
            <w:sz w:val="22"/>
            <w:szCs w:val="22"/>
          </w:rPr>
          <w:t>or List</w:t>
        </w:r>
      </w:hyperlink>
    </w:p>
    <w:p w:rsidR="006E210C" w:rsidRPr="00266A7C" w:rsidRDefault="006E210C" w:rsidP="006E210C">
      <w:pPr>
        <w:numPr>
          <w:ilvl w:val="0"/>
          <w:numId w:val="1"/>
        </w:numPr>
        <w:spacing w:before="100" w:beforeAutospacing="1" w:after="100" w:afterAutospacing="1" w:line="300" w:lineRule="atLeast"/>
        <w:ind w:left="722"/>
        <w:rPr>
          <w:rFonts w:ascii="Century Gothic" w:hAnsi="Century Gothic"/>
          <w:sz w:val="22"/>
          <w:szCs w:val="22"/>
        </w:rPr>
      </w:pPr>
      <w:hyperlink r:id="rId8" w:history="1">
        <w:r w:rsidRPr="00266A7C">
          <w:rPr>
            <w:rStyle w:val="Hyperlink"/>
            <w:rFonts w:ascii="Century Gothic" w:hAnsi="Century Gothic"/>
            <w:sz w:val="22"/>
            <w:szCs w:val="22"/>
          </w:rPr>
          <w:t>Cert</w:t>
        </w:r>
        <w:r w:rsidRPr="00266A7C">
          <w:rPr>
            <w:rStyle w:val="Hyperlink"/>
            <w:rFonts w:ascii="Century Gothic" w:hAnsi="Century Gothic"/>
            <w:sz w:val="22"/>
            <w:szCs w:val="22"/>
          </w:rPr>
          <w:t>i</w:t>
        </w:r>
        <w:r w:rsidRPr="00266A7C">
          <w:rPr>
            <w:rStyle w:val="Hyperlink"/>
            <w:rFonts w:ascii="Century Gothic" w:hAnsi="Century Gothic"/>
            <w:sz w:val="22"/>
            <w:szCs w:val="22"/>
          </w:rPr>
          <w:t>fication for Collection of Sales and Use Tax Ineligible Vendor Directory</w:t>
        </w:r>
      </w:hyperlink>
    </w:p>
    <w:p w:rsidR="006E210C" w:rsidRPr="008502A8" w:rsidRDefault="006E210C" w:rsidP="006E210C">
      <w:pPr>
        <w:spacing w:before="75" w:after="100" w:afterAutospacing="1" w:line="300" w:lineRule="atLeast"/>
        <w:outlineLvl w:val="3"/>
        <w:rPr>
          <w:rFonts w:ascii="Century Gothic" w:hAnsi="Century Gothic"/>
          <w:b/>
          <w:bCs/>
        </w:rPr>
      </w:pPr>
      <w:bookmarkStart w:id="16" w:name="Insurance"/>
      <w:bookmarkEnd w:id="16"/>
      <w:r w:rsidRPr="008502A8">
        <w:rPr>
          <w:rFonts w:ascii="Century Gothic" w:hAnsi="Century Gothic"/>
          <w:b/>
          <w:bCs/>
        </w:rPr>
        <w:t>Insurance</w:t>
      </w:r>
    </w:p>
    <w:p w:rsidR="006E210C" w:rsidRPr="00266A7C" w:rsidRDefault="006E210C" w:rsidP="006E210C">
      <w:pPr>
        <w:spacing w:before="75" w:after="100" w:afterAutospacing="1" w:line="300" w:lineRule="atLeast"/>
        <w:rPr>
          <w:rFonts w:ascii="Century Gothic" w:hAnsi="Century Gothic"/>
          <w:sz w:val="22"/>
          <w:szCs w:val="22"/>
        </w:rPr>
      </w:pPr>
      <w:r w:rsidRPr="00266A7C">
        <w:rPr>
          <w:rFonts w:ascii="Century Gothic" w:hAnsi="Century Gothic"/>
          <w:sz w:val="22"/>
          <w:szCs w:val="22"/>
        </w:rPr>
        <w:t xml:space="preserve">Insurance is not an acceptable card purchase. All insurance must be processed through Risk Management. </w:t>
      </w:r>
    </w:p>
    <w:p w:rsidR="006E210C" w:rsidRPr="008502A8" w:rsidRDefault="006E210C" w:rsidP="006E210C">
      <w:pPr>
        <w:spacing w:before="75" w:after="100" w:afterAutospacing="1" w:line="300" w:lineRule="atLeast"/>
        <w:outlineLvl w:val="3"/>
        <w:rPr>
          <w:rFonts w:ascii="Century Gothic" w:hAnsi="Century Gothic"/>
          <w:b/>
          <w:bCs/>
        </w:rPr>
      </w:pPr>
      <w:bookmarkStart w:id="17" w:name="meals"/>
      <w:bookmarkEnd w:id="17"/>
      <w:r w:rsidRPr="008502A8">
        <w:rPr>
          <w:rFonts w:ascii="Century Gothic" w:hAnsi="Century Gothic"/>
          <w:b/>
          <w:bCs/>
        </w:rPr>
        <w:t>Meals</w:t>
      </w:r>
    </w:p>
    <w:p w:rsidR="006E210C" w:rsidRPr="00266A7C" w:rsidRDefault="006E210C" w:rsidP="006E210C">
      <w:pPr>
        <w:spacing w:before="75" w:after="100" w:afterAutospacing="1" w:line="300" w:lineRule="atLeast"/>
        <w:rPr>
          <w:rFonts w:ascii="Century Gothic" w:hAnsi="Century Gothic"/>
          <w:sz w:val="22"/>
          <w:szCs w:val="22"/>
        </w:rPr>
      </w:pPr>
      <w:r w:rsidRPr="00266A7C">
        <w:rPr>
          <w:rFonts w:ascii="Century Gothic" w:hAnsi="Century Gothic"/>
          <w:sz w:val="22"/>
          <w:szCs w:val="22"/>
        </w:rPr>
        <w:t>Individual meals are not allowable on the standard purchasing card nor are they allowable on a purchasing card that has been approved for travel. The individual must personally pay for all meals and request reimbursement through the Controller’s Office by</w:t>
      </w:r>
      <w:r>
        <w:rPr>
          <w:rFonts w:ascii="Century Gothic" w:hAnsi="Century Gothic"/>
          <w:sz w:val="22"/>
          <w:szCs w:val="22"/>
        </w:rPr>
        <w:t xml:space="preserve"> filing a Travel Expense Report (TER).</w:t>
      </w:r>
    </w:p>
    <w:p w:rsidR="006E210C" w:rsidRPr="008502A8" w:rsidRDefault="006E210C" w:rsidP="006E210C">
      <w:pPr>
        <w:spacing w:before="75" w:after="100" w:afterAutospacing="1" w:line="300" w:lineRule="atLeast"/>
        <w:outlineLvl w:val="3"/>
        <w:rPr>
          <w:rFonts w:ascii="Century Gothic" w:hAnsi="Century Gothic"/>
          <w:b/>
          <w:bCs/>
        </w:rPr>
      </w:pPr>
      <w:bookmarkStart w:id="18" w:name="Memberships"/>
      <w:bookmarkEnd w:id="18"/>
      <w:r w:rsidRPr="008502A8">
        <w:rPr>
          <w:rFonts w:ascii="Century Gothic" w:hAnsi="Century Gothic"/>
          <w:b/>
          <w:bCs/>
        </w:rPr>
        <w:t>Memberships</w:t>
      </w:r>
    </w:p>
    <w:p w:rsidR="006E210C" w:rsidRPr="00266A7C" w:rsidRDefault="006E210C" w:rsidP="006E210C">
      <w:pPr>
        <w:spacing w:before="75" w:after="100" w:afterAutospacing="1" w:line="300" w:lineRule="atLeast"/>
        <w:rPr>
          <w:rFonts w:ascii="Century Gothic" w:hAnsi="Century Gothic"/>
          <w:sz w:val="22"/>
          <w:szCs w:val="22"/>
        </w:rPr>
      </w:pPr>
      <w:r w:rsidRPr="00266A7C">
        <w:rPr>
          <w:rFonts w:ascii="Century Gothic" w:hAnsi="Century Gothic"/>
          <w:sz w:val="22"/>
          <w:szCs w:val="22"/>
        </w:rPr>
        <w:t>Membership renewals are allowed on the Purchasing Card; memberships must be applicable to memb</w:t>
      </w:r>
      <w:r>
        <w:rPr>
          <w:rFonts w:ascii="Century Gothic" w:hAnsi="Century Gothic"/>
          <w:sz w:val="22"/>
          <w:szCs w:val="22"/>
        </w:rPr>
        <w:t>er’s position at the University and whenever possible, issued in the name of the University.  A University business address should be listed for all memberships.</w:t>
      </w:r>
    </w:p>
    <w:p w:rsidR="006E210C" w:rsidRPr="008502A8" w:rsidRDefault="006E210C" w:rsidP="006E210C">
      <w:pPr>
        <w:spacing w:before="75" w:after="100" w:afterAutospacing="1" w:line="300" w:lineRule="atLeast"/>
        <w:outlineLvl w:val="3"/>
        <w:rPr>
          <w:rFonts w:ascii="Century Gothic" w:hAnsi="Century Gothic"/>
          <w:b/>
          <w:bCs/>
        </w:rPr>
      </w:pPr>
      <w:bookmarkStart w:id="19" w:name="OnlineAuctionPurchases"/>
      <w:bookmarkStart w:id="20" w:name="Parking"/>
      <w:bookmarkEnd w:id="19"/>
      <w:bookmarkEnd w:id="20"/>
      <w:r w:rsidRPr="008502A8">
        <w:rPr>
          <w:rFonts w:ascii="Century Gothic" w:hAnsi="Century Gothic"/>
          <w:b/>
          <w:bCs/>
        </w:rPr>
        <w:t>Parking</w:t>
      </w:r>
    </w:p>
    <w:p w:rsidR="006E210C" w:rsidRPr="00266A7C" w:rsidRDefault="006E210C" w:rsidP="006E210C">
      <w:pPr>
        <w:spacing w:before="75" w:after="100" w:afterAutospacing="1" w:line="300" w:lineRule="atLeast"/>
        <w:rPr>
          <w:rFonts w:ascii="Century Gothic" w:hAnsi="Century Gothic"/>
          <w:sz w:val="22"/>
          <w:szCs w:val="22"/>
        </w:rPr>
      </w:pPr>
      <w:r w:rsidRPr="00266A7C">
        <w:rPr>
          <w:rFonts w:ascii="Century Gothic" w:hAnsi="Century Gothic"/>
          <w:sz w:val="22"/>
          <w:szCs w:val="22"/>
        </w:rPr>
        <w:t xml:space="preserve">Parking costs incurred outside of the individual’s headquarters city are allowed on the Purchasing Card.  Parking costs incurred within the individual’s headquarters city or at the individual’s permanent work site are </w:t>
      </w:r>
      <w:r w:rsidRPr="00266A7C">
        <w:rPr>
          <w:rFonts w:ascii="Century Gothic" w:hAnsi="Century Gothic"/>
          <w:b/>
          <w:bCs/>
          <w:sz w:val="22"/>
          <w:szCs w:val="22"/>
        </w:rPr>
        <w:t xml:space="preserve">NOT </w:t>
      </w:r>
      <w:r w:rsidRPr="00266A7C">
        <w:rPr>
          <w:rFonts w:ascii="Century Gothic" w:hAnsi="Century Gothic"/>
          <w:sz w:val="22"/>
          <w:szCs w:val="22"/>
        </w:rPr>
        <w:t>allowed on the Purchasing Card.</w:t>
      </w:r>
    </w:p>
    <w:p w:rsidR="006E210C" w:rsidRPr="008502A8" w:rsidRDefault="006E210C" w:rsidP="006E210C">
      <w:pPr>
        <w:spacing w:before="75" w:after="100" w:afterAutospacing="1" w:line="300" w:lineRule="atLeast"/>
        <w:outlineLvl w:val="3"/>
        <w:rPr>
          <w:rFonts w:ascii="Century Gothic" w:hAnsi="Century Gothic"/>
          <w:b/>
          <w:bCs/>
        </w:rPr>
      </w:pPr>
      <w:bookmarkStart w:id="21" w:name="Printing"/>
      <w:bookmarkEnd w:id="21"/>
      <w:r w:rsidRPr="008502A8">
        <w:rPr>
          <w:rFonts w:ascii="Century Gothic" w:hAnsi="Century Gothic"/>
          <w:b/>
          <w:bCs/>
        </w:rPr>
        <w:t>Printing</w:t>
      </w:r>
    </w:p>
    <w:p w:rsidR="006E210C" w:rsidRPr="00266A7C" w:rsidRDefault="006E210C" w:rsidP="006E210C">
      <w:pPr>
        <w:spacing w:before="75" w:after="100" w:afterAutospacing="1" w:line="300" w:lineRule="atLeast"/>
        <w:rPr>
          <w:rFonts w:ascii="Century Gothic" w:hAnsi="Century Gothic"/>
          <w:sz w:val="22"/>
          <w:szCs w:val="22"/>
        </w:rPr>
      </w:pPr>
      <w:r w:rsidRPr="00266A7C">
        <w:rPr>
          <w:rFonts w:ascii="Century Gothic" w:hAnsi="Century Gothic"/>
          <w:sz w:val="22"/>
          <w:szCs w:val="22"/>
        </w:rPr>
        <w:lastRenderedPageBreak/>
        <w:t xml:space="preserve">Printing charges of any kind are not allowed on the Purchasing Card.   </w:t>
      </w:r>
    </w:p>
    <w:p w:rsidR="006E210C" w:rsidRPr="008502A8" w:rsidRDefault="006E210C" w:rsidP="006E210C">
      <w:pPr>
        <w:spacing w:before="75" w:after="100" w:afterAutospacing="1" w:line="300" w:lineRule="atLeast"/>
        <w:outlineLvl w:val="3"/>
        <w:rPr>
          <w:rFonts w:ascii="Century Gothic" w:hAnsi="Century Gothic"/>
          <w:b/>
          <w:bCs/>
        </w:rPr>
      </w:pPr>
      <w:bookmarkStart w:id="22" w:name="Prizes"/>
      <w:bookmarkEnd w:id="22"/>
      <w:r w:rsidRPr="008502A8">
        <w:rPr>
          <w:rFonts w:ascii="Century Gothic" w:hAnsi="Century Gothic"/>
          <w:b/>
          <w:bCs/>
        </w:rPr>
        <w:t xml:space="preserve">Prizes  </w:t>
      </w:r>
    </w:p>
    <w:p w:rsidR="006E210C" w:rsidRPr="00266A7C" w:rsidRDefault="006E210C" w:rsidP="006E210C">
      <w:pPr>
        <w:spacing w:before="75" w:after="100" w:afterAutospacing="1" w:line="300" w:lineRule="atLeast"/>
        <w:rPr>
          <w:rFonts w:ascii="Century Gothic" w:hAnsi="Century Gothic"/>
          <w:sz w:val="22"/>
        </w:rPr>
      </w:pPr>
      <w:r w:rsidRPr="00266A7C">
        <w:rPr>
          <w:rFonts w:ascii="Century Gothic" w:hAnsi="Century Gothic"/>
          <w:sz w:val="22"/>
        </w:rPr>
        <w:t>Prizes are something of value conveyed as a result of chance, generally for promotional purposes, to one or more participants in a University sponsored event. Prizes may only be awarded in situations where benefits are expected to accrue to the University. Examples include door prizes to encourage attendance at an event or prizes as an incentive to encourage responses to questionnaires or surveys. The value of the prize must be reasonable and appropriate based on the minimum amount required to achieve the objective and cannot exceed $200.00. Prizes cannot be awarded to employees unless the basis for awarding the prize has nothing to do with the recipient’s employment. Prizes meeting the above definition are allowable on the card. Cash prizes and gift cards are not allowable on the purchasing card.  Documentation of winners</w:t>
      </w:r>
      <w:r>
        <w:rPr>
          <w:rFonts w:ascii="Century Gothic" w:hAnsi="Century Gothic"/>
          <w:sz w:val="22"/>
        </w:rPr>
        <w:t xml:space="preserve">, Social Security Numbers and the value of the prize </w:t>
      </w:r>
      <w:r w:rsidRPr="00266A7C">
        <w:rPr>
          <w:rFonts w:ascii="Century Gothic" w:hAnsi="Century Gothic"/>
          <w:sz w:val="22"/>
        </w:rPr>
        <w:t>must be attached to the P-Card receipt.</w:t>
      </w:r>
    </w:p>
    <w:p w:rsidR="006E210C" w:rsidRPr="008502A8" w:rsidRDefault="006E210C" w:rsidP="006E210C">
      <w:pPr>
        <w:spacing w:before="75" w:after="100" w:afterAutospacing="1" w:line="300" w:lineRule="atLeast"/>
        <w:outlineLvl w:val="3"/>
        <w:rPr>
          <w:rFonts w:ascii="Century Gothic" w:hAnsi="Century Gothic"/>
          <w:b/>
          <w:bCs/>
        </w:rPr>
      </w:pPr>
      <w:bookmarkStart w:id="23" w:name="RegistrationsSubscriptions"/>
      <w:bookmarkEnd w:id="23"/>
      <w:r w:rsidRPr="008502A8">
        <w:rPr>
          <w:rFonts w:ascii="Century Gothic" w:hAnsi="Century Gothic"/>
          <w:b/>
          <w:bCs/>
        </w:rPr>
        <w:t>Registrations and Subscriptions</w:t>
      </w:r>
    </w:p>
    <w:p w:rsidR="006E210C" w:rsidRPr="00266A7C" w:rsidRDefault="006E210C" w:rsidP="006E210C">
      <w:pPr>
        <w:spacing w:before="75" w:after="100" w:afterAutospacing="1" w:line="300" w:lineRule="atLeast"/>
        <w:rPr>
          <w:rFonts w:ascii="Century Gothic" w:hAnsi="Century Gothic"/>
          <w:sz w:val="22"/>
          <w:szCs w:val="22"/>
        </w:rPr>
      </w:pPr>
      <w:r w:rsidRPr="00266A7C">
        <w:rPr>
          <w:rFonts w:ascii="Century Gothic" w:hAnsi="Century Gothic"/>
          <w:sz w:val="22"/>
          <w:szCs w:val="22"/>
        </w:rPr>
        <w:t>Registrations and subscriptions are allowable on the card; subscriptions must be sent to the University address (not the individual’s home address).</w:t>
      </w:r>
    </w:p>
    <w:p w:rsidR="006E210C" w:rsidRPr="008502A8" w:rsidRDefault="006E210C" w:rsidP="006E210C">
      <w:pPr>
        <w:spacing w:before="75" w:after="100" w:afterAutospacing="1" w:line="300" w:lineRule="atLeast"/>
        <w:outlineLvl w:val="3"/>
        <w:rPr>
          <w:rFonts w:ascii="Century Gothic" w:hAnsi="Century Gothic"/>
          <w:b/>
          <w:bCs/>
        </w:rPr>
      </w:pPr>
      <w:bookmarkStart w:id="24" w:name="Services"/>
      <w:bookmarkStart w:id="25" w:name="Stamps"/>
      <w:bookmarkStart w:id="26" w:name="Supplies"/>
      <w:bookmarkEnd w:id="24"/>
      <w:bookmarkEnd w:id="25"/>
      <w:bookmarkEnd w:id="26"/>
      <w:r w:rsidRPr="008502A8">
        <w:rPr>
          <w:rFonts w:ascii="Century Gothic" w:hAnsi="Century Gothic"/>
          <w:b/>
          <w:bCs/>
        </w:rPr>
        <w:t>Supplies</w:t>
      </w:r>
    </w:p>
    <w:p w:rsidR="006E210C" w:rsidRPr="00266A7C" w:rsidRDefault="006E210C" w:rsidP="006E210C">
      <w:pPr>
        <w:spacing w:before="75" w:after="100" w:afterAutospacing="1" w:line="300" w:lineRule="atLeast"/>
        <w:rPr>
          <w:rFonts w:ascii="Century Gothic" w:hAnsi="Century Gothic"/>
          <w:sz w:val="22"/>
          <w:szCs w:val="22"/>
        </w:rPr>
      </w:pPr>
      <w:r w:rsidRPr="00266A7C">
        <w:rPr>
          <w:rFonts w:ascii="Century Gothic" w:hAnsi="Century Gothic"/>
          <w:sz w:val="22"/>
          <w:szCs w:val="22"/>
        </w:rPr>
        <w:t xml:space="preserve">You are encouraged to use the MDS (Material Distribution Services) Ordering System when purchasing supplies that are carried by a prime vendor. Ordering through MDS ensures the state contract prices.  </w:t>
      </w:r>
      <w:r w:rsidRPr="00AC56FD">
        <w:rPr>
          <w:rFonts w:ascii="Century Gothic" w:hAnsi="Century Gothic"/>
          <w:sz w:val="22"/>
          <w:szCs w:val="22"/>
          <w:u w:val="single"/>
        </w:rPr>
        <w:t>A Purchasing Card is not required when ordering through MDS</w:t>
      </w:r>
      <w:r w:rsidRPr="00266A7C">
        <w:rPr>
          <w:rFonts w:ascii="Century Gothic" w:hAnsi="Century Gothic"/>
          <w:sz w:val="22"/>
          <w:szCs w:val="22"/>
        </w:rPr>
        <w:t>.</w:t>
      </w:r>
    </w:p>
    <w:p w:rsidR="006E210C" w:rsidRPr="008502A8" w:rsidRDefault="006E210C" w:rsidP="006E210C">
      <w:pPr>
        <w:spacing w:before="75" w:after="100" w:afterAutospacing="1" w:line="300" w:lineRule="atLeast"/>
        <w:outlineLvl w:val="3"/>
        <w:rPr>
          <w:rFonts w:ascii="Century Gothic" w:hAnsi="Century Gothic"/>
          <w:b/>
          <w:bCs/>
        </w:rPr>
      </w:pPr>
      <w:bookmarkStart w:id="27" w:name="TaxReportablePayments"/>
      <w:bookmarkStart w:id="28" w:name="Travel"/>
      <w:bookmarkEnd w:id="27"/>
      <w:bookmarkEnd w:id="28"/>
      <w:r w:rsidRPr="008502A8">
        <w:rPr>
          <w:rFonts w:ascii="Century Gothic" w:hAnsi="Century Gothic"/>
          <w:b/>
          <w:bCs/>
        </w:rPr>
        <w:t xml:space="preserve">Travel </w:t>
      </w:r>
    </w:p>
    <w:p w:rsidR="006E210C" w:rsidRDefault="006E210C" w:rsidP="006E210C">
      <w:pPr>
        <w:spacing w:before="75" w:after="100" w:afterAutospacing="1" w:line="300" w:lineRule="atLeast"/>
        <w:rPr>
          <w:rFonts w:ascii="Century Gothic" w:hAnsi="Century Gothic"/>
        </w:rPr>
      </w:pPr>
      <w:r w:rsidRPr="00266A7C">
        <w:rPr>
          <w:rFonts w:ascii="Century Gothic" w:hAnsi="Century Gothic"/>
          <w:sz w:val="22"/>
          <w:szCs w:val="22"/>
        </w:rPr>
        <w:t>The Purchasing Card may be used for team travel expenses only; individuals in travel status must use the Corporate Travel Card</w:t>
      </w:r>
      <w:r>
        <w:rPr>
          <w:rFonts w:ascii="Century Gothic" w:hAnsi="Century Gothic"/>
        </w:rPr>
        <w:t>.</w:t>
      </w:r>
    </w:p>
    <w:p w:rsidR="0000538C" w:rsidRDefault="0000538C">
      <w:bookmarkStart w:id="29" w:name="_GoBack"/>
      <w:bookmarkEnd w:id="29"/>
    </w:p>
    <w:sectPr w:rsidR="00005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D34B7"/>
    <w:multiLevelType w:val="multilevel"/>
    <w:tmpl w:val="1082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0C"/>
    <w:rsid w:val="0000538C"/>
    <w:rsid w:val="006E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21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21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gb.edu/purchasing/policies/ineligibleVendors.htm" TargetMode="External"/><Relationship Id="rId3" Type="http://schemas.microsoft.com/office/2007/relationships/stylesWithEffects" Target="stylesWithEffects.xml"/><Relationship Id="rId7" Type="http://schemas.openxmlformats.org/officeDocument/2006/relationships/hyperlink" Target="http://www.uwgb.edu/purchasing/policies/ineligibleVendor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gb.edu/controller/form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4410BAF8</Template>
  <TotalTime>0</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Helmke, Marie</dc:creator>
  <cp:lastModifiedBy>Helmke, Marie</cp:lastModifiedBy>
  <cp:revision>1</cp:revision>
  <dcterms:created xsi:type="dcterms:W3CDTF">2011-09-13T17:58:00Z</dcterms:created>
  <dcterms:modified xsi:type="dcterms:W3CDTF">2011-09-13T17:58:00Z</dcterms:modified>
</cp:coreProperties>
</file>