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A4" w:rsidRPr="001C20A4" w:rsidRDefault="001C20A4" w:rsidP="001C20A4">
      <w:pPr>
        <w:jc w:val="center"/>
        <w:rPr>
          <w:rFonts w:asciiTheme="minorHAnsi" w:hAnsiTheme="minorHAnsi" w:cstheme="minorHAnsi"/>
          <w:b/>
          <w:color w:val="000000" w:themeColor="text1"/>
          <w:sz w:val="32"/>
          <w:szCs w:val="28"/>
        </w:rPr>
      </w:pPr>
      <w:r w:rsidRPr="001C20A4">
        <w:rPr>
          <w:rFonts w:asciiTheme="minorHAnsi" w:hAnsiTheme="minorHAnsi" w:cstheme="minorHAnsi"/>
          <w:b/>
          <w:color w:val="000000" w:themeColor="text1"/>
          <w:sz w:val="32"/>
          <w:szCs w:val="28"/>
        </w:rPr>
        <w:t>Cultivating Provider Competency with Eating Disorders: Identification, Treatment, and Knowing When to Refer</w:t>
      </w:r>
    </w:p>
    <w:p w:rsidR="001C20A4" w:rsidRDefault="001C20A4" w:rsidP="001C20A4">
      <w:pPr>
        <w:rPr>
          <w:b/>
        </w:rPr>
      </w:pPr>
    </w:p>
    <w:p w:rsidR="001C20A4" w:rsidRDefault="001C20A4" w:rsidP="001C20A4">
      <w:pPr>
        <w:rPr>
          <w:b/>
        </w:rPr>
      </w:pPr>
    </w:p>
    <w:p w:rsidR="001C20A4" w:rsidRPr="001C20A4" w:rsidRDefault="001C20A4" w:rsidP="001C20A4">
      <w:pPr>
        <w:rPr>
          <w:i/>
          <w:sz w:val="28"/>
          <w:szCs w:val="28"/>
        </w:rPr>
      </w:pPr>
      <w:r w:rsidRPr="001C20A4">
        <w:rPr>
          <w:b/>
          <w:i/>
          <w:sz w:val="28"/>
          <w:szCs w:val="28"/>
        </w:rPr>
        <w:t xml:space="preserve">Trainers: </w:t>
      </w:r>
      <w:r w:rsidRPr="001C20A4">
        <w:rPr>
          <w:i/>
          <w:sz w:val="28"/>
          <w:szCs w:val="28"/>
        </w:rPr>
        <w:t>Nichole Baumgartner, MA, LPC, NCC &amp; Emily Gaber, MS, NCC, LPC</w:t>
      </w:r>
    </w:p>
    <w:p w:rsidR="001C20A4" w:rsidRPr="001C20A4" w:rsidRDefault="001C20A4" w:rsidP="001C20A4">
      <w:pPr>
        <w:rPr>
          <w:sz w:val="28"/>
          <w:szCs w:val="28"/>
        </w:rPr>
      </w:pPr>
    </w:p>
    <w:p w:rsidR="001C20A4" w:rsidRPr="001C20A4" w:rsidRDefault="001C20A4" w:rsidP="001C20A4">
      <w:pPr>
        <w:rPr>
          <w:b/>
          <w:sz w:val="28"/>
          <w:szCs w:val="28"/>
        </w:rPr>
      </w:pPr>
    </w:p>
    <w:p w:rsidR="001C20A4" w:rsidRPr="001C20A4" w:rsidRDefault="001C20A4" w:rsidP="001C20A4">
      <w:pPr>
        <w:rPr>
          <w:b/>
          <w:sz w:val="28"/>
          <w:szCs w:val="28"/>
        </w:rPr>
      </w:pPr>
      <w:r w:rsidRPr="001C20A4">
        <w:rPr>
          <w:b/>
          <w:sz w:val="28"/>
          <w:szCs w:val="28"/>
        </w:rPr>
        <w:t>Training Description:</w:t>
      </w:r>
    </w:p>
    <w:p w:rsidR="001C20A4" w:rsidRPr="001C20A4" w:rsidRDefault="001C20A4" w:rsidP="001C20A4">
      <w:pPr>
        <w:rPr>
          <w:b/>
          <w:sz w:val="28"/>
          <w:szCs w:val="28"/>
        </w:rPr>
      </w:pPr>
    </w:p>
    <w:p w:rsidR="001C20A4" w:rsidRPr="001C20A4" w:rsidRDefault="001C20A4" w:rsidP="001C20A4">
      <w:pPr>
        <w:rPr>
          <w:color w:val="000000" w:themeColor="text1"/>
          <w:sz w:val="28"/>
          <w:szCs w:val="28"/>
        </w:rPr>
      </w:pPr>
      <w:r w:rsidRPr="001C20A4">
        <w:rPr>
          <w:color w:val="000000" w:themeColor="text1"/>
          <w:sz w:val="28"/>
          <w:szCs w:val="28"/>
        </w:rPr>
        <w:t>In this training, presenters will provide an in-depth description of clinical identification and treatment of eating disorders. Development and maintenance of the illnesses will be discussed through the biopsychosocial and cognitive behavioral models. Presenters will provide local specialized referral sources, discuss the limitations to outpatient work, and challenge clinician biases. Clinicians will learn how to support eating disorder recovery through crisis management, specific intervention, and necessary collaboration. Resources for further education and pursuit of eating disorder certification will be provided. </w:t>
      </w:r>
    </w:p>
    <w:p w:rsidR="009E7A4D" w:rsidRPr="001C20A4" w:rsidRDefault="00B929CD">
      <w:pPr>
        <w:rPr>
          <w:sz w:val="28"/>
          <w:szCs w:val="28"/>
        </w:rPr>
      </w:pPr>
    </w:p>
    <w:p w:rsidR="001C20A4" w:rsidRPr="001C20A4" w:rsidRDefault="001C20A4">
      <w:pPr>
        <w:rPr>
          <w:sz w:val="28"/>
          <w:szCs w:val="28"/>
        </w:rPr>
      </w:pPr>
    </w:p>
    <w:p w:rsidR="001C20A4" w:rsidRPr="001C20A4" w:rsidRDefault="001C20A4" w:rsidP="001C20A4">
      <w:pPr>
        <w:rPr>
          <w:sz w:val="28"/>
          <w:szCs w:val="28"/>
        </w:rPr>
      </w:pPr>
      <w:r w:rsidRPr="001C20A4">
        <w:rPr>
          <w:sz w:val="28"/>
          <w:szCs w:val="28"/>
        </w:rPr>
        <w:t>Fee: $35 (members); $135 (</w:t>
      </w:r>
      <w:r>
        <w:rPr>
          <w:sz w:val="28"/>
          <w:szCs w:val="28"/>
        </w:rPr>
        <w:t xml:space="preserve">partial &amp; </w:t>
      </w:r>
      <w:r w:rsidRPr="001C20A4">
        <w:rPr>
          <w:sz w:val="28"/>
          <w:szCs w:val="28"/>
        </w:rPr>
        <w:t>nonmembers)</w:t>
      </w:r>
    </w:p>
    <w:p w:rsidR="001C20A4" w:rsidRPr="001C20A4" w:rsidRDefault="001C20A4" w:rsidP="001C20A4">
      <w:pPr>
        <w:rPr>
          <w:sz w:val="28"/>
          <w:szCs w:val="28"/>
        </w:rPr>
      </w:pPr>
      <w:r w:rsidRPr="001C20A4">
        <w:rPr>
          <w:sz w:val="28"/>
          <w:szCs w:val="28"/>
        </w:rPr>
        <w:t>Continuing Education Hours: 6.0</w:t>
      </w:r>
    </w:p>
    <w:p w:rsidR="001C20A4" w:rsidRDefault="001C20A4"/>
    <w:p w:rsidR="001C20A4" w:rsidRDefault="001C20A4"/>
    <w:p w:rsidR="001C20A4" w:rsidRPr="001C20A4" w:rsidRDefault="001C20A4">
      <w:pPr>
        <w:rPr>
          <w:b/>
          <w:sz w:val="32"/>
          <w:szCs w:val="32"/>
        </w:rPr>
      </w:pPr>
      <w:r w:rsidRPr="001C20A4">
        <w:rPr>
          <w:b/>
          <w:sz w:val="32"/>
          <w:szCs w:val="32"/>
        </w:rPr>
        <w:t>Choose from two date</w:t>
      </w:r>
      <w:r>
        <w:rPr>
          <w:b/>
          <w:sz w:val="32"/>
          <w:szCs w:val="32"/>
        </w:rPr>
        <w:t>s</w:t>
      </w:r>
      <w:r w:rsidRPr="001C20A4">
        <w:rPr>
          <w:b/>
          <w:sz w:val="32"/>
          <w:szCs w:val="32"/>
        </w:rPr>
        <w:t xml:space="preserve"> and two locations!</w:t>
      </w:r>
    </w:p>
    <w:p w:rsidR="001C20A4" w:rsidRPr="001C20A4" w:rsidRDefault="001C20A4">
      <w:pPr>
        <w:rPr>
          <w:sz w:val="32"/>
          <w:szCs w:val="32"/>
        </w:rPr>
      </w:pPr>
    </w:p>
    <w:p w:rsidR="001C20A4" w:rsidRPr="001C20A4" w:rsidRDefault="001C20A4">
      <w:pPr>
        <w:rPr>
          <w:sz w:val="32"/>
          <w:szCs w:val="32"/>
        </w:rPr>
        <w:sectPr w:rsidR="001C20A4" w:rsidRPr="001C20A4">
          <w:pgSz w:w="12240" w:h="15840"/>
          <w:pgMar w:top="1440" w:right="1440" w:bottom="1440" w:left="1440" w:header="720" w:footer="720" w:gutter="0"/>
          <w:cols w:space="720"/>
          <w:docGrid w:linePitch="360"/>
        </w:sectPr>
      </w:pPr>
    </w:p>
    <w:p w:rsidR="001C20A4" w:rsidRPr="001C20A4" w:rsidRDefault="001C20A4">
      <w:pPr>
        <w:rPr>
          <w:b/>
          <w:sz w:val="32"/>
          <w:szCs w:val="32"/>
        </w:rPr>
      </w:pPr>
      <w:r w:rsidRPr="001C20A4">
        <w:rPr>
          <w:b/>
          <w:sz w:val="32"/>
          <w:szCs w:val="32"/>
        </w:rPr>
        <w:t>May 7, 2020</w:t>
      </w:r>
      <w:r w:rsidRPr="001C20A4">
        <w:rPr>
          <w:b/>
          <w:sz w:val="32"/>
          <w:szCs w:val="32"/>
        </w:rPr>
        <w:tab/>
      </w:r>
      <w:r w:rsidRPr="001C20A4">
        <w:rPr>
          <w:b/>
          <w:sz w:val="32"/>
          <w:szCs w:val="32"/>
        </w:rPr>
        <w:tab/>
      </w:r>
      <w:r w:rsidRPr="001C20A4">
        <w:rPr>
          <w:b/>
          <w:sz w:val="32"/>
          <w:szCs w:val="32"/>
        </w:rPr>
        <w:tab/>
      </w:r>
      <w:r w:rsidRPr="001C20A4">
        <w:rPr>
          <w:b/>
          <w:sz w:val="32"/>
          <w:szCs w:val="32"/>
        </w:rPr>
        <w:tab/>
      </w:r>
      <w:r w:rsidRPr="001C20A4">
        <w:rPr>
          <w:b/>
          <w:sz w:val="32"/>
          <w:szCs w:val="32"/>
        </w:rPr>
        <w:tab/>
        <w:t>May 14, 2020</w:t>
      </w:r>
    </w:p>
    <w:p w:rsidR="001C20A4" w:rsidRPr="001C20A4" w:rsidRDefault="001C20A4">
      <w:pPr>
        <w:rPr>
          <w:b/>
          <w:sz w:val="32"/>
          <w:szCs w:val="32"/>
        </w:rPr>
      </w:pPr>
      <w:r w:rsidRPr="001C20A4">
        <w:rPr>
          <w:b/>
          <w:sz w:val="32"/>
          <w:szCs w:val="32"/>
        </w:rPr>
        <w:t>Dane County Job Center</w:t>
      </w:r>
      <w:r w:rsidRPr="001C20A4">
        <w:rPr>
          <w:b/>
          <w:sz w:val="32"/>
          <w:szCs w:val="32"/>
        </w:rPr>
        <w:tab/>
      </w:r>
      <w:r w:rsidRPr="001C20A4">
        <w:rPr>
          <w:b/>
          <w:sz w:val="32"/>
          <w:szCs w:val="32"/>
        </w:rPr>
        <w:tab/>
      </w:r>
      <w:r w:rsidRPr="001C20A4">
        <w:rPr>
          <w:b/>
          <w:sz w:val="32"/>
          <w:szCs w:val="32"/>
        </w:rPr>
        <w:tab/>
        <w:t>Tundra Lodge Resort</w:t>
      </w:r>
    </w:p>
    <w:p w:rsidR="001C20A4" w:rsidRPr="001C20A4" w:rsidRDefault="001C20A4">
      <w:pPr>
        <w:rPr>
          <w:sz w:val="32"/>
          <w:szCs w:val="32"/>
        </w:rPr>
      </w:pPr>
      <w:r w:rsidRPr="001C20A4">
        <w:rPr>
          <w:sz w:val="32"/>
          <w:szCs w:val="32"/>
        </w:rPr>
        <w:t>1819 Aberg Avenue</w:t>
      </w:r>
      <w:r w:rsidRPr="001C20A4">
        <w:rPr>
          <w:sz w:val="32"/>
          <w:szCs w:val="32"/>
        </w:rPr>
        <w:tab/>
      </w:r>
      <w:r w:rsidRPr="001C20A4">
        <w:rPr>
          <w:sz w:val="32"/>
          <w:szCs w:val="32"/>
        </w:rPr>
        <w:tab/>
      </w:r>
      <w:r w:rsidRPr="001C20A4">
        <w:rPr>
          <w:sz w:val="32"/>
          <w:szCs w:val="32"/>
        </w:rPr>
        <w:tab/>
      </w:r>
      <w:r>
        <w:rPr>
          <w:sz w:val="32"/>
          <w:szCs w:val="32"/>
        </w:rPr>
        <w:tab/>
      </w:r>
      <w:r w:rsidRPr="001C20A4">
        <w:rPr>
          <w:sz w:val="32"/>
          <w:szCs w:val="32"/>
        </w:rPr>
        <w:t>865 Lombardi Avenue</w:t>
      </w:r>
    </w:p>
    <w:p w:rsidR="001C20A4" w:rsidRDefault="001C20A4">
      <w:pPr>
        <w:rPr>
          <w:sz w:val="32"/>
          <w:szCs w:val="32"/>
        </w:rPr>
      </w:pPr>
      <w:r w:rsidRPr="001C20A4">
        <w:rPr>
          <w:sz w:val="32"/>
          <w:szCs w:val="32"/>
        </w:rPr>
        <w:t xml:space="preserve">Madison, WI </w:t>
      </w:r>
      <w:r w:rsidRPr="001C20A4">
        <w:rPr>
          <w:sz w:val="32"/>
          <w:szCs w:val="32"/>
        </w:rPr>
        <w:tab/>
      </w:r>
      <w:r w:rsidRPr="001C20A4">
        <w:rPr>
          <w:sz w:val="32"/>
          <w:szCs w:val="32"/>
        </w:rPr>
        <w:tab/>
      </w:r>
      <w:r w:rsidRPr="001C20A4">
        <w:rPr>
          <w:sz w:val="32"/>
          <w:szCs w:val="32"/>
        </w:rPr>
        <w:tab/>
      </w:r>
      <w:r w:rsidRPr="001C20A4">
        <w:rPr>
          <w:sz w:val="32"/>
          <w:szCs w:val="32"/>
        </w:rPr>
        <w:tab/>
      </w:r>
      <w:r>
        <w:rPr>
          <w:sz w:val="32"/>
          <w:szCs w:val="32"/>
        </w:rPr>
        <w:tab/>
      </w:r>
      <w:r w:rsidRPr="001C20A4">
        <w:rPr>
          <w:sz w:val="32"/>
          <w:szCs w:val="32"/>
        </w:rPr>
        <w:t>Green Bay, WI</w:t>
      </w:r>
    </w:p>
    <w:p w:rsidR="00B929CD" w:rsidRDefault="00B929CD">
      <w:pPr>
        <w:rPr>
          <w:sz w:val="32"/>
          <w:szCs w:val="32"/>
        </w:rPr>
      </w:pPr>
    </w:p>
    <w:p w:rsidR="00B929CD" w:rsidRDefault="00B929CD">
      <w:pPr>
        <w:rPr>
          <w:b/>
          <w:sz w:val="28"/>
          <w:szCs w:val="28"/>
        </w:rPr>
      </w:pPr>
      <w:r w:rsidRPr="00B929CD">
        <w:rPr>
          <w:b/>
          <w:sz w:val="28"/>
          <w:szCs w:val="28"/>
        </w:rPr>
        <w:t>Register</w:t>
      </w:r>
      <w:r>
        <w:rPr>
          <w:b/>
          <w:sz w:val="28"/>
          <w:szCs w:val="28"/>
        </w:rPr>
        <w:t>:</w:t>
      </w:r>
    </w:p>
    <w:p w:rsidR="00B929CD" w:rsidRDefault="00B929CD">
      <w:pPr>
        <w:rPr>
          <w:b/>
          <w:sz w:val="28"/>
          <w:szCs w:val="28"/>
        </w:rPr>
      </w:pPr>
      <w:bookmarkStart w:id="0" w:name="_GoBack"/>
      <w:bookmarkEnd w:id="0"/>
    </w:p>
    <w:p w:rsidR="00B929CD" w:rsidRPr="00B929CD" w:rsidRDefault="00B929CD">
      <w:pPr>
        <w:rPr>
          <w:b/>
          <w:sz w:val="28"/>
          <w:szCs w:val="28"/>
        </w:rPr>
      </w:pPr>
      <w:hyperlink r:id="rId4" w:history="1">
        <w:r w:rsidRPr="00B929CD">
          <w:rPr>
            <w:rStyle w:val="Hyperlink"/>
            <w:color w:val="0070C0"/>
            <w:sz w:val="28"/>
            <w:szCs w:val="28"/>
          </w:rPr>
          <w:t>https://www.uwgb.edu/behavioral-health-training-partnership/training/special-skills-and-topics/</w:t>
        </w:r>
      </w:hyperlink>
    </w:p>
    <w:sectPr w:rsidR="00B929CD" w:rsidRPr="00B929CD" w:rsidSect="001C20A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A4"/>
    <w:rsid w:val="0006009C"/>
    <w:rsid w:val="001C20A4"/>
    <w:rsid w:val="00B929CD"/>
    <w:rsid w:val="00D9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BA31"/>
  <w15:chartTrackingRefBased/>
  <w15:docId w15:val="{EBCBB3A7-EDC8-486F-8ADA-48D2996F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0A4"/>
    <w:pPr>
      <w:spacing w:after="0" w:line="240" w:lineRule="auto"/>
    </w:pPr>
    <w:rPr>
      <w:rFonts w:ascii="Calibri" w:eastAsia="DengXian" w:hAnsi="Calibri"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wgb.edu/behavioral-health-training-partnership/training/special-skills-and-topics/=5043&amp;AppCode=REG&amp;CC=119060315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2</cp:revision>
  <dcterms:created xsi:type="dcterms:W3CDTF">2019-06-17T01:49:00Z</dcterms:created>
  <dcterms:modified xsi:type="dcterms:W3CDTF">2019-06-17T14:21:00Z</dcterms:modified>
</cp:coreProperties>
</file>